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3E63A9">
        <w:rPr>
          <w:bCs/>
        </w:rPr>
        <w:t>0</w:t>
      </w:r>
      <w:r w:rsidR="004917C5">
        <w:rPr>
          <w:bCs/>
        </w:rPr>
        <w:t>9</w:t>
      </w:r>
      <w:r w:rsidR="003709FA">
        <w:rPr>
          <w:bCs/>
        </w:rPr>
        <w:t>.</w:t>
      </w:r>
      <w:r w:rsidR="0027169C">
        <w:rPr>
          <w:bCs/>
        </w:rPr>
        <w:t>0</w:t>
      </w:r>
      <w:r w:rsidR="003E63A9">
        <w:rPr>
          <w:bCs/>
        </w:rPr>
        <w:t>8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27169C">
        <w:rPr>
          <w:bCs/>
        </w:rPr>
        <w:t>1</w:t>
      </w:r>
      <w:r w:rsidR="00EE25B2" w:rsidRPr="00776520">
        <w:rPr>
          <w:bCs/>
        </w:rPr>
        <w:t xml:space="preserve"> № </w:t>
      </w:r>
      <w:r w:rsidR="003E63A9">
        <w:rPr>
          <w:bCs/>
        </w:rPr>
        <w:t>819</w:t>
      </w:r>
      <w:r w:rsidR="0027169C">
        <w:rPr>
          <w:bCs/>
        </w:rPr>
        <w:t>-па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молодеж</w:t>
            </w:r>
            <w:r w:rsidR="00251795">
              <w:rPr>
                <w:sz w:val="24"/>
                <w:szCs w:val="24"/>
              </w:rPr>
              <w:t xml:space="preserve">ной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внедренных в Курской области направлений регионального экспортного стандарта </w:t>
            </w:r>
            <w:r>
              <w:rPr>
                <w:sz w:val="24"/>
                <w:szCs w:val="24"/>
              </w:rPr>
              <w:lastRenderedPageBreak/>
              <w:t>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2014 - 2024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27169C">
              <w:rPr>
                <w:sz w:val="24"/>
                <w:szCs w:val="24"/>
              </w:rPr>
              <w:t>5</w:t>
            </w:r>
            <w:r w:rsidR="003E63A9">
              <w:rPr>
                <w:sz w:val="24"/>
                <w:szCs w:val="24"/>
              </w:rPr>
              <w:t> 995 656,141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3E63A9">
              <w:rPr>
                <w:sz w:val="24"/>
                <w:szCs w:val="24"/>
              </w:rPr>
              <w:t>622 891,669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541 989,289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E63A9">
              <w:rPr>
                <w:sz w:val="24"/>
                <w:szCs w:val="24"/>
              </w:rPr>
              <w:t>599 365,986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010FB9">
              <w:rPr>
                <w:sz w:val="24"/>
                <w:szCs w:val="24"/>
              </w:rPr>
              <w:t>567 988,831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                                      4</w:t>
            </w:r>
            <w:r w:rsidR="003E63A9">
              <w:rPr>
                <w:sz w:val="24"/>
                <w:szCs w:val="24"/>
              </w:rPr>
              <w:t> 654 244,659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3E63A9">
              <w:rPr>
                <w:sz w:val="24"/>
                <w:szCs w:val="24"/>
              </w:rPr>
              <w:t>553 763,669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471 783,489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E63A9">
              <w:rPr>
                <w:sz w:val="24"/>
                <w:szCs w:val="24"/>
              </w:rPr>
              <w:t>507 764,686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2024 год – 506 761,831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EB4544">
              <w:rPr>
                <w:sz w:val="24"/>
                <w:szCs w:val="24"/>
              </w:rPr>
              <w:t> 341 411,482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lastRenderedPageBreak/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70 205,800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EB4544">
              <w:rPr>
                <w:sz w:val="24"/>
                <w:szCs w:val="24"/>
              </w:rPr>
              <w:t>91 601,300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EB4544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EB4544">
              <w:rPr>
                <w:sz w:val="24"/>
                <w:szCs w:val="24"/>
              </w:rPr>
              <w:t>61 227,000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всего – 4 299 977,000 тыс. рублей,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в том числе: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2020 год –    798 960,000 тыс. рублей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2021 год – 1 199 353,000 тыс. рублей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2022 год – 1 161 172,000 тыс. рублей</w:t>
            </w:r>
          </w:p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2023 год – 1 140 492,000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118,1 %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2024 годы четырех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2024 году до 24,5 процента;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количества внедренных в Курской области направлений регионального экспортного </w:t>
            </w:r>
            <w:r>
              <w:rPr>
                <w:rFonts w:eastAsia="Calibri"/>
                <w:sz w:val="24"/>
                <w:szCs w:val="24"/>
              </w:rPr>
              <w:lastRenderedPageBreak/>
              <w:t>стандарта 2.0 до 15 единиц в 2024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2024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последние </w:t>
      </w:r>
      <w:r w:rsidR="00975A7A" w:rsidRPr="00CC2F02">
        <w:t>годы</w:t>
      </w:r>
      <w:r w:rsidRPr="00CC2F02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</w:t>
      </w:r>
      <w:r w:rsidRPr="00CC2F02">
        <w:lastRenderedPageBreak/>
        <w:t>Стандарт деятельности органов исполнительной власти по обеспечению благоприятного инвестиционного климата в регионе.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повышения информационной открытости региона с 2012 года Администрацией Курской области совместно с российским 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курскому бизнесу находить новых партнёров и расширять объёмы производства. Также проводятся значимые </w:t>
      </w:r>
      <w:proofErr w:type="spellStart"/>
      <w:r w:rsidRPr="00CC2F02">
        <w:t>имиджевые</w:t>
      </w:r>
      <w:proofErr w:type="spellEnd"/>
      <w:r w:rsidRPr="00CC2F02">
        <w:t xml:space="preserve"> мероприятия, нацеленные на позиционирование Курской области как </w:t>
      </w:r>
      <w:proofErr w:type="spellStart"/>
      <w:r w:rsidRPr="00CC2F02">
        <w:t>инвестиционно-привлекательного</w:t>
      </w:r>
      <w:proofErr w:type="spellEnd"/>
      <w:r w:rsidRPr="00CC2F02">
        <w:t xml:space="preserve"> региона, территории, благоприятной для ведения бизнеса. 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</w:t>
      </w:r>
      <w:r w:rsidRPr="00CC2F02">
        <w:lastRenderedPageBreak/>
        <w:t xml:space="preserve">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</w:t>
      </w:r>
      <w:r w:rsidRPr="00CC2F02">
        <w:lastRenderedPageBreak/>
        <w:t xml:space="preserve">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625755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</w:t>
      </w:r>
      <w:r w:rsidRPr="00CC2F02">
        <w:rPr>
          <w:rFonts w:eastAsiaTheme="minorHAnsi"/>
          <w:lang w:eastAsia="en-US"/>
        </w:rPr>
        <w:lastRenderedPageBreak/>
        <w:t>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</w:t>
      </w:r>
      <w:r w:rsidRPr="00CC2F02">
        <w:rPr>
          <w:rFonts w:eastAsiaTheme="minorHAnsi"/>
          <w:lang w:eastAsia="en-US"/>
        </w:rPr>
        <w:lastRenderedPageBreak/>
        <w:t>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</w:t>
      </w:r>
      <w:r w:rsidRPr="00CC2F02">
        <w:lastRenderedPageBreak/>
        <w:t xml:space="preserve">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</w:t>
      </w:r>
      <w:r w:rsidRPr="00CC2F02">
        <w:lastRenderedPageBreak/>
        <w:t xml:space="preserve">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625755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</w:t>
      </w:r>
      <w:r w:rsidRPr="00CC2F02">
        <w:lastRenderedPageBreak/>
        <w:t xml:space="preserve">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</w:t>
      </w:r>
      <w:r w:rsidRPr="00CC2F02">
        <w:lastRenderedPageBreak/>
        <w:t xml:space="preserve">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</w:t>
      </w:r>
      <w:r w:rsidRPr="00CC2F02">
        <w:lastRenderedPageBreak/>
        <w:t xml:space="preserve">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lastRenderedPageBreak/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 особой экономической зоны промышленно-производственного типа;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достигнут в 2024 году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по отношению к 2020 году;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привлечены за 2022-2024 годы четыре резидента особой экономической зоны промышленно-производственного типа;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lastRenderedPageBreak/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 xml:space="preserve"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2022-2024 годы четырех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B83BC8" w:rsidRPr="00B570E6">
        <w:t>4</w:t>
      </w:r>
      <w:r w:rsidRPr="00B570E6">
        <w:t xml:space="preserve"> году до </w:t>
      </w:r>
      <w:r w:rsidR="002C33BD" w:rsidRPr="00B570E6">
        <w:t>2</w:t>
      </w:r>
      <w:r w:rsidR="00B83BC8" w:rsidRPr="00B570E6">
        <w:t>4,5</w:t>
      </w:r>
      <w:r w:rsidRPr="00B570E6">
        <w:t xml:space="preserve"> процент</w:t>
      </w:r>
      <w:r w:rsidR="00B83BC8" w:rsidRPr="00B570E6">
        <w:t>а</w:t>
      </w:r>
      <w:r w:rsidRPr="00B570E6">
        <w:t>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к 2018</w:t>
      </w:r>
      <w:r w:rsidRPr="00B570E6">
        <w:t xml:space="preserve"> году;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lastRenderedPageBreak/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1010C0" w:rsidRPr="00B570E6">
        <w:t>4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1010C0" w:rsidRPr="00B570E6">
        <w:t>4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2019-2024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 xml:space="preserve">Достижение поставленной цели 1 «Создание благоприятного предпринимательского климата и условий для ведения бизнеса; создание </w:t>
      </w:r>
      <w:r w:rsidRPr="008B0E2C">
        <w:lastRenderedPageBreak/>
        <w:t>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lastRenderedPageBreak/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lastRenderedPageBreak/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625755" w:rsidP="00F14F74">
      <w:pPr>
        <w:ind w:firstLine="709"/>
        <w:jc w:val="both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4.9pt;margin-top:3.35pt;width:7.5pt;height:9.75pt;z-index:251658240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lastRenderedPageBreak/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625755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</w:t>
      </w:r>
      <w:r w:rsidRPr="00B570E6">
        <w:lastRenderedPageBreak/>
        <w:t xml:space="preserve">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</w:t>
      </w:r>
      <w:r w:rsidRPr="00B570E6">
        <w:lastRenderedPageBreak/>
        <w:t xml:space="preserve">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</w:t>
      </w:r>
      <w:r w:rsidRPr="00B570E6">
        <w:lastRenderedPageBreak/>
        <w:t>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информационно-справочного обеспечения транспортного комплекса Курской области, включая приобретение </w:t>
      </w:r>
      <w:r w:rsidRPr="00B570E6">
        <w:lastRenderedPageBreak/>
        <w:t>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625755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Pr="008B0E2C" w:rsidRDefault="000820E1" w:rsidP="000820E1">
      <w:pPr>
        <w:ind w:firstLine="709"/>
        <w:jc w:val="both"/>
      </w:pPr>
      <w:proofErr w:type="gramStart"/>
      <w:r w:rsidRPr="008B0E2C">
        <w:t xml:space="preserve"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</w:t>
      </w:r>
      <w:r w:rsidRPr="008B0E2C">
        <w:lastRenderedPageBreak/>
        <w:t>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резидентам особой экономической зоны.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</w:t>
      </w:r>
      <w:r w:rsidRPr="00CC2F02">
        <w:lastRenderedPageBreak/>
        <w:t>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</w:t>
      </w:r>
      <w:r w:rsidRPr="00CC2F02">
        <w:lastRenderedPageBreak/>
        <w:t>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0820E1" w:rsidRPr="008B0E2C" w:rsidRDefault="000820E1" w:rsidP="000820E1">
      <w:pPr>
        <w:ind w:firstLine="709"/>
        <w:jc w:val="both"/>
      </w:pPr>
      <w:r w:rsidRPr="008B0E2C">
        <w:t>В рамках подпрограммы 1 «Создание благоприятных условий для привлечения инвестиций в экономику Курской области» оказание государственных услуг осуществляет автономное учреждение Курской области «Корпорация развития Курской области»</w:t>
      </w:r>
      <w:r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lastRenderedPageBreak/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6" w:history="1">
        <w:r w:rsidRPr="00CC2F02">
          <w:t>подпрограммы 1</w:t>
        </w:r>
      </w:hyperlink>
      <w:r w:rsidRPr="00CC2F02">
        <w:t xml:space="preserve"> </w:t>
      </w:r>
      <w:r w:rsidR="00E07BEC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E07BEC" w:rsidRPr="00CC2F02">
        <w:t>»</w:t>
      </w:r>
      <w:r w:rsidRPr="00CC2F02">
        <w:t xml:space="preserve"> мероприятия подпрограммы планируется реализовывать с участием АО </w:t>
      </w:r>
      <w:r w:rsidR="00E07BEC" w:rsidRPr="00CC2F02">
        <w:t>«</w:t>
      </w:r>
      <w:r w:rsidRPr="00CC2F02">
        <w:t>Агентство по привлечению инвестиций Курской области</w:t>
      </w:r>
      <w:r w:rsidR="00E07BEC" w:rsidRPr="00CC2F02">
        <w:t>»</w:t>
      </w:r>
      <w:r w:rsidR="000820E1">
        <w:t xml:space="preserve">, АУ </w:t>
      </w:r>
      <w:proofErr w:type="gramStart"/>
      <w:r w:rsidR="000820E1">
        <w:t>КО</w:t>
      </w:r>
      <w:proofErr w:type="gramEnd"/>
      <w:r w:rsidR="000820E1">
        <w:t xml:space="preserve"> «Корпорация развития Курской области»</w:t>
      </w:r>
      <w:r w:rsidRPr="00CC2F02">
        <w:t xml:space="preserve">, ОБУК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автономное учреждение Курской области </w:t>
      </w:r>
      <w:r w:rsidR="00E07BEC" w:rsidRPr="00CC2F02">
        <w:t>«</w:t>
      </w:r>
      <w:r w:rsidRPr="00CC2F02">
        <w:t xml:space="preserve">Телевизионная и радиовещательная компания </w:t>
      </w:r>
      <w:r w:rsidR="00E07BEC" w:rsidRPr="00CC2F02">
        <w:t>«</w:t>
      </w:r>
      <w:r w:rsidRPr="00CC2F02">
        <w:t>Сейм</w:t>
      </w:r>
      <w:r w:rsidR="00E07BEC" w:rsidRPr="00CC2F02">
        <w:t>»</w:t>
      </w:r>
      <w:r w:rsidRPr="00CC2F02">
        <w:t>;</w:t>
      </w:r>
    </w:p>
    <w:p w:rsidR="002840E9" w:rsidRPr="002840E9" w:rsidRDefault="002840E9" w:rsidP="002840E9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для реализации мероприятий по проведению ежегодной межрегиональной универсальной оптово-розничной Курской </w:t>
      </w:r>
      <w:proofErr w:type="spellStart"/>
      <w:r w:rsidRPr="00CC2F02">
        <w:t>Коренской</w:t>
      </w:r>
      <w:proofErr w:type="spellEnd"/>
      <w:r w:rsidRPr="00CC2F02">
        <w:t xml:space="preserve"> ярмарки привлекаются: областное бюджетное учреждение </w:t>
      </w:r>
      <w:r w:rsidR="00E07BEC" w:rsidRPr="00CC2F02">
        <w:t>«</w:t>
      </w:r>
      <w:r w:rsidRPr="00CC2F02">
        <w:t xml:space="preserve">Выставочный центр </w:t>
      </w:r>
      <w:r w:rsidR="00E07BEC" w:rsidRPr="00CC2F02">
        <w:t>«</w:t>
      </w:r>
      <w:r w:rsidRPr="00CC2F02">
        <w:t xml:space="preserve">Курская </w:t>
      </w:r>
      <w:proofErr w:type="spellStart"/>
      <w:r w:rsidRPr="00CC2F02">
        <w:t>Коренская</w:t>
      </w:r>
      <w:proofErr w:type="spellEnd"/>
      <w:r w:rsidRPr="00CC2F02">
        <w:t xml:space="preserve"> ярмарка</w:t>
      </w:r>
      <w:r w:rsidR="00E07BEC" w:rsidRPr="00CC2F02">
        <w:t>»</w:t>
      </w:r>
      <w:r w:rsidRPr="00CC2F02">
        <w:t xml:space="preserve">, областное бюджетное образовательное учреждение дополнительного образования детей </w:t>
      </w:r>
      <w:r w:rsidR="00E07BEC" w:rsidRPr="00CC2F02">
        <w:t>«</w:t>
      </w:r>
      <w:r w:rsidRPr="00CC2F02">
        <w:t>Областной центр творческого развития и гуманитарного образования детей и учащейся молодежи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proofErr w:type="spellStart"/>
      <w:r w:rsidRPr="00CC2F02">
        <w:t>Экоцентр</w:t>
      </w:r>
      <w:proofErr w:type="spellEnd"/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>, областное бюджетное учреждение</w:t>
      </w:r>
      <w:proofErr w:type="gramEnd"/>
      <w:r w:rsidRPr="00CC2F02">
        <w:t xml:space="preserve"> культуры </w:t>
      </w:r>
      <w:r w:rsidR="00E07BEC" w:rsidRPr="00CC2F02">
        <w:t>«</w:t>
      </w:r>
      <w:r w:rsidRPr="00CC2F02">
        <w:t>Курский Дом народного творчества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музей археологии</w:t>
      </w:r>
      <w:r w:rsidR="00E07BEC" w:rsidRPr="00CC2F02">
        <w:t>»</w:t>
      </w:r>
      <w:r w:rsidRPr="00CC2F02">
        <w:t xml:space="preserve">, </w:t>
      </w:r>
      <w:r w:rsidRPr="00CC2F02">
        <w:lastRenderedPageBreak/>
        <w:t xml:space="preserve">областное бюджетное учреждение культуры </w:t>
      </w:r>
      <w:r w:rsidR="00E07BEC" w:rsidRPr="00CC2F02">
        <w:t>«</w:t>
      </w:r>
      <w:r w:rsidRPr="00CC2F02">
        <w:t>Курский государственный театр кукол</w:t>
      </w:r>
      <w:r w:rsidR="00E07BEC" w:rsidRPr="00CC2F02">
        <w:t>»</w:t>
      </w:r>
      <w:r w:rsidRPr="00CC2F02">
        <w:t xml:space="preserve">, областное бюджетное образовательное учреждение среднего профессионального образования </w:t>
      </w:r>
      <w:r w:rsidR="00E07BEC" w:rsidRPr="00CC2F02">
        <w:t>«</w:t>
      </w:r>
      <w:r w:rsidRPr="00CC2F02">
        <w:t>Курский колледж культуры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Гараж комитета по культуре</w:t>
      </w:r>
      <w:r w:rsidR="00E07BEC" w:rsidRPr="00CC2F02">
        <w:t>»</w:t>
      </w:r>
      <w:r w:rsidRPr="00CC2F02">
        <w:t xml:space="preserve">, областное казенное учреждение </w:t>
      </w:r>
      <w:r w:rsidR="00E07BEC" w:rsidRPr="00CC2F02">
        <w:t>«</w:t>
      </w:r>
      <w:r w:rsidRPr="00CC2F02">
        <w:t>Гараж Администрации Курской области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палаты Уполномоченного по защите прав предпринимателей.</w:t>
      </w:r>
      <w:proofErr w:type="gramEnd"/>
      <w:r w:rsidRPr="00CC2F02">
        <w:t xml:space="preserve"> Участие в данных мероприятий осуществляет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преобразованное в 2015 году в Ассоциацию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3C3BDD" w:rsidRPr="00CC2F02">
        <w:t>.</w:t>
      </w:r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8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9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</w:t>
      </w:r>
      <w:r w:rsidRPr="00CC2F02">
        <w:lastRenderedPageBreak/>
        <w:t>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1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2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3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4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5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lastRenderedPageBreak/>
        <w:t xml:space="preserve">5. </w:t>
      </w:r>
      <w:r w:rsidR="007E59ED" w:rsidRPr="00CC2F02">
        <w:t>«</w:t>
      </w:r>
      <w:hyperlink r:id="rId56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7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8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2014 - 2024 годах составляет</w:t>
      </w:r>
      <w:r w:rsidR="00D81C85">
        <w:t xml:space="preserve"> </w:t>
      </w:r>
      <w:r w:rsidR="00207F6C">
        <w:t>6 093 637,031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207F6C">
        <w:t>622 891,669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541 989,289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207F6C">
        <w:t>599 365,986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567 988,831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>Общий объем средств федерального бюджета на реализацию мероприятий программы в 2014 - 2024 годах составляет 1</w:t>
      </w:r>
      <w:r w:rsidR="00B50579">
        <w:t> 341 411,482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70 205,800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B50579">
        <w:t>91 601,300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61 227,000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2014 - 2024 годах составляет                                 4</w:t>
      </w:r>
      <w:r w:rsidR="00207F6C">
        <w:t> 654 244,659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207F6C">
        <w:t>553 763,669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471 783,489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207F6C">
        <w:t>507 764,686</w:t>
      </w:r>
      <w:r w:rsidRPr="00CC0B3D">
        <w:t xml:space="preserve"> тыс. рублей</w:t>
      </w:r>
      <w:r>
        <w:t>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2024 год – 506 761,831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2014 - 2024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2014 - 2024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9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60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lastRenderedPageBreak/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</w:t>
      </w:r>
      <w:r w:rsidRPr="00CC2F02"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повышение квалификации и </w:t>
            </w:r>
            <w:r w:rsidRPr="00CC2F02">
              <w:lastRenderedPageBreak/>
              <w:t>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методов прогнозирования социально-</w:t>
            </w:r>
            <w:r w:rsidRPr="00CC2F02">
              <w:lastRenderedPageBreak/>
              <w:t xml:space="preserve">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</w:t>
            </w:r>
            <w:r w:rsidRPr="00CC2F02">
              <w:lastRenderedPageBreak/>
              <w:t>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lastRenderedPageBreak/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 xml:space="preserve">. В том случае, когда для описания результатов реализации мероприятия используется несколько показателей (индикаторов), для оценки степени реализации </w:t>
      </w:r>
      <w:r w:rsidRPr="00CC2F02">
        <w:lastRenderedPageBreak/>
        <w:t>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</w:t>
      </w:r>
      <w:r w:rsidRPr="00CC2F02">
        <w:lastRenderedPageBreak/>
        <w:t>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lastRenderedPageBreak/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8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6C" w:rsidRDefault="00207F6C" w:rsidP="00975A7A">
      <w:r>
        <w:separator/>
      </w:r>
    </w:p>
  </w:endnote>
  <w:endnote w:type="continuationSeparator" w:id="0">
    <w:p w:rsidR="00207F6C" w:rsidRDefault="00207F6C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6C" w:rsidRDefault="00207F6C" w:rsidP="00975A7A">
      <w:r>
        <w:separator/>
      </w:r>
    </w:p>
  </w:footnote>
  <w:footnote w:type="continuationSeparator" w:id="0">
    <w:p w:rsidR="00207F6C" w:rsidRDefault="00207F6C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207F6C" w:rsidRDefault="00207F6C">
        <w:pPr>
          <w:pStyle w:val="a6"/>
          <w:jc w:val="center"/>
        </w:pPr>
        <w:fldSimple w:instr=" PAGE   \* MERGEFORMAT ">
          <w:r w:rsidR="002C0CE0">
            <w:rPr>
              <w:noProof/>
            </w:rPr>
            <w:t>43</w:t>
          </w:r>
        </w:fldSimple>
      </w:p>
    </w:sdtContent>
  </w:sdt>
  <w:p w:rsidR="00207F6C" w:rsidRDefault="00207F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32144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4C93"/>
    <w:rsid w:val="002579FF"/>
    <w:rsid w:val="0026062F"/>
    <w:rsid w:val="002633AC"/>
    <w:rsid w:val="0027169C"/>
    <w:rsid w:val="002748D3"/>
    <w:rsid w:val="00281381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64BD"/>
    <w:rsid w:val="003218F8"/>
    <w:rsid w:val="003241CC"/>
    <w:rsid w:val="003260B2"/>
    <w:rsid w:val="00336E92"/>
    <w:rsid w:val="00344E3F"/>
    <w:rsid w:val="00355917"/>
    <w:rsid w:val="003709FA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42DB"/>
    <w:rsid w:val="00546A6C"/>
    <w:rsid w:val="0056183C"/>
    <w:rsid w:val="00566D7A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A05341"/>
    <w:rsid w:val="00A12C9A"/>
    <w:rsid w:val="00A14553"/>
    <w:rsid w:val="00A174CC"/>
    <w:rsid w:val="00A21B51"/>
    <w:rsid w:val="00A37CE8"/>
    <w:rsid w:val="00A44F07"/>
    <w:rsid w:val="00A53241"/>
    <w:rsid w:val="00A619DB"/>
    <w:rsid w:val="00A675D0"/>
    <w:rsid w:val="00A749F2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15F3"/>
    <w:rsid w:val="00C94509"/>
    <w:rsid w:val="00CA3E28"/>
    <w:rsid w:val="00CA3F38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51E2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649F9E3HAI" TargetMode="External"/><Relationship Id="rId50" Type="http://schemas.openxmlformats.org/officeDocument/2006/relationships/hyperlink" Target="consultantplus://offline/ref=359AFAA8845612A4510675BA83010FB1058A90E65D7235F4DE3DA70D209F0F2C43D4252CED4EDDC24742FEE3H4I" TargetMode="External"/><Relationship Id="rId55" Type="http://schemas.openxmlformats.org/officeDocument/2006/relationships/hyperlink" Target="consultantplus://offline/ref=359AFAA8845612A4510675BA83010FB1058A90E65D7235F4DE3DA70D209F0F2C43D4252CED4EDDC24742FEE3H4I" TargetMode="External"/><Relationship Id="rId63" Type="http://schemas.openxmlformats.org/officeDocument/2006/relationships/image" Target="media/image4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649F9E3HAI" TargetMode="External"/><Relationship Id="rId58" Type="http://schemas.openxmlformats.org/officeDocument/2006/relationships/hyperlink" Target="consultantplus://offline/ref=359AFAA8845612A4510675BA83010FB1058A90E65D7235F4DE3DA70D209F0F2C43D4252CED4EDDC24748FFE3H2I" TargetMode="External"/><Relationship Id="rId66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6BB7956D55BD0383C7E85B773FAB8162FC5077E9H6I" TargetMode="External"/><Relationship Id="rId57" Type="http://schemas.openxmlformats.org/officeDocument/2006/relationships/hyperlink" Target="consultantplus://offline/ref=A493DD6D2F5A5A6A72084097F806D21BE236DBAEE2BEC6C8B3A30893491443A7456CD6142AB59FC8AD8434j923N" TargetMode="External"/><Relationship Id="rId61" Type="http://schemas.openxmlformats.org/officeDocument/2006/relationships/image" Target="media/image2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7FEE3H2I" TargetMode="External"/><Relationship Id="rId60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5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75BA83010FB1058A90E65D7235F4DE3DA70D209F0F2C43D4252CED4EDDC24740FCE3H3I" TargetMode="External"/><Relationship Id="rId56" Type="http://schemas.openxmlformats.org/officeDocument/2006/relationships/hyperlink" Target="consultantplus://offline/ref=359AFAA8845612A4510675BA83010FB1058A90E65D7235F4DE3DA70D209F0F2C43D4252CED4EDDC24744F9E3HAI" TargetMode="External"/><Relationship Id="rId64" Type="http://schemas.openxmlformats.org/officeDocument/2006/relationships/image" Target="media/image5.wmf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748FF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7FEE3H2I" TargetMode="External"/><Relationship Id="rId59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7" Type="http://schemas.openxmlformats.org/officeDocument/2006/relationships/image" Target="media/image8.wmf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0FCE3H3I" TargetMode="External"/><Relationship Id="rId62" Type="http://schemas.openxmlformats.org/officeDocument/2006/relationships/image" Target="media/image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0606-19F4-4EDE-BF55-2D807D66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52</Pages>
  <Words>18134</Words>
  <Characters>103365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17</cp:revision>
  <cp:lastPrinted>2016-04-01T11:29:00Z</cp:lastPrinted>
  <dcterms:created xsi:type="dcterms:W3CDTF">2019-02-28T13:00:00Z</dcterms:created>
  <dcterms:modified xsi:type="dcterms:W3CDTF">2021-08-16T07:47:00Z</dcterms:modified>
</cp:coreProperties>
</file>