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5211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УТВЕРЖДЕН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постановлением Администрации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Курской области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21.09.2021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976-па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редакции постановления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Курской области</w:t>
            </w:r>
            <w:r/>
          </w:p>
          <w:p>
            <w:pPr>
              <w:contextualSpacing w:val="true"/>
              <w:jc w:val="center"/>
              <w:spacing w:lineRule="atLeast" w:line="283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____________№_________)</w:t>
            </w:r>
            <w:r/>
          </w:p>
        </w:tc>
      </w:tr>
    </w:tbl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</w:r>
      <w:r>
        <w:rPr>
          <w:highlight w:val="white"/>
        </w:rPr>
      </w:r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Порядок </w:t>
      </w:r>
      <w:r>
        <w:rPr>
          <w:highlight w:val="white"/>
        </w:rPr>
      </w:r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предоставления субсидий застройщикам на возмещение части </w:t>
      </w:r>
      <w:r>
        <w:rPr>
          <w:highlight w:val="white"/>
        </w:rPr>
      </w:r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платы кредитным организациям за снижение процентной ставки </w:t>
      </w:r>
      <w:r>
        <w:rPr>
          <w:highlight w:val="white"/>
        </w:rPr>
      </w:r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по льготным жилищным (ипотечным) кредитам (займам),</w:t>
      </w:r>
      <w:r>
        <w:rPr>
          <w:highlight w:val="white"/>
        </w:rPr>
      </w:r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 выдаваемым ими гражданам для приобретения жилых помещений </w:t>
      </w:r>
      <w:r>
        <w:rPr>
          <w:highlight w:val="white"/>
        </w:rPr>
      </w:r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на территории Курской области</w:t>
      </w:r>
      <w:r>
        <w:rPr>
          <w:highlight w:val="white"/>
        </w:rPr>
      </w:r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</w:r>
      <w:r>
        <w:rPr>
          <w:highlight w:val="white"/>
        </w:rPr>
      </w:r>
    </w:p>
    <w:p>
      <w:pPr>
        <w:jc w:val="center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. Общие положения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1.1. Настоящий Порядок устанавливает порядок,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цели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 условия предоставления из областного бюджета субсидий застройщикам на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возмещение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части платы кредитным организациям за снижение процентной ставки по льготным жилищным (ипотечным) кредитам (займам), выдаваемым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отдельным категориям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гражда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для приобретения жилых помещений на территории Курской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области (далее - субсидия) в рамках государственной программы Курской области «Обеспечение доступным и комфортным жильем и коммунальными услугами граждан в Курской области», утвержденной постановлением Администрации Курской области от 11.10.2013 № 716-па. 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Настоящий Порядок разработан в целях предоставления государственной поддержки отдельным категориям граждан при приобретении жилья с помощью льготного жилищного (ипотечного) кредитования.</w:t>
      </w:r>
      <w:r>
        <w:rPr>
          <w:highlight w:val="white"/>
        </w:rPr>
      </w:r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1.2.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Предос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тавление субсидий из областного бюджета, источником финансового обеспечения которых являются средства областного бюджета, осуществляется главным распорядителем средств областного бюджета - Министерством строительства Курской области (далее - Министерство)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соответствии со сводной бюджетной росписью областного бюджета в пределах лимитов бюджетных обязательств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доведенных в установленном порядке Министерству как получателю средств областного бюджета на цели, указанные в пункте 1.1 настоящего Порядка.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1.3. Предоставление субсидий осуществляется застройщикам на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возмещение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части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платы кредитным организациям за снижение процентной ставки по льготным жилищным (ипотечным) кредитам (займам), выдаваемы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м отдельным категориям граждан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для приобретения жилых помещений на территории Курской области.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1.4. В настоящем Порядке используются следующие термины и определения: 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застройщик - хозяйственное общество, в понятии, определенном пунктом 1 статьи 2 Федерального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Федеральный закон от 30.12.2004 № 214-ФЗ);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отбор - процедура опред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еления Министерством получателей субсидии способом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 - застройщик, подавший заявку на участие в отборе на предоставление субсидии (далее - заявление), способом запроса предложений, исходя из соответствия участников отбора критериям отбора, установленным настоящим Порядком;</w:t>
      </w:r>
      <w:r>
        <w:rPr>
          <w:highlight w:val="white"/>
        </w:rPr>
      </w:r>
    </w:p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получатель субсидии - участник отбора, прошедший процедуру отбора, в отношении которого Министерством принято решение о предоставлении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приобретение жилых помещений на первичном рынке жилья - приобретение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жилого помещения, находящегося на этапе строительства, по договору участия в долевом строительстве (договору (договорам) уступки прав требований по указанному договору), заключенному в соответствии с положениями Федерального закона от 30.12.2004 № 214-ФЗ; 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приобретение жилых помещений на вторичном рынке жилья - приобретение жилого помещения, находящегося в собственности юридического лица - застройщика, по договору купли-продажи;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приобретение жилого помещения путем стр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оительства объекта индивидуального жилищного строительства, осуществляемого гражданином с привлечением организации, осуществляющей строительство (реконструкцию) объекта индивидуального жилищного строительства, в том числе по договору строительного подряда;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сниженная процентная ставка - процентная ставка, у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тверждаемая кредитной организацией в рамках индивидуальной программы кредитования физических лиц на приобретение жилых помещений, являющаяся фиксированной и устанавливающаяся на весь период действия кредитного договора (договора займа) при его заключении.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Размер платы за снижение процентных ставок по льготным жилищным (ипотечным) кредитам (займам), выданным кредитными орга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низациями отдельным категориям граждан на приобретение жилых помещений на территории Курской области, составляет не более 22,6 процента от суммы предоставленного гражданину льготного жилищного (ипотечного) кредита (займа). В целях возмещения из областного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бюджета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понесенных застройщиками расходов на оплату снижения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процентной ставки по льготным жилищным (ипотечным) кредитам (займам), выдаваемым кредитными организациями гражданам для приобретения жилых помещений на территории Курской области, величина снижения составляет не менее 0,7,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но не более 3 процентных пункта относительно стандартной процентной ставки, действующей в кредитной организации по данному виду ипотечного продукта, при этом применяется максимально возможное снижение процентных пунктов по данному виду ипотечного продукта.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Иные термины используются в значениях, установленных законодательством Российской Федерации.</w:t>
      </w:r>
      <w:r>
        <w:rPr>
          <w:highlight w:val="white"/>
        </w:rPr>
      </w:r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1.5. Способ предоставления субсидии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возмещение затрат.</w:t>
      </w:r>
      <w:r>
        <w:rPr>
          <w:highlight w:val="white"/>
        </w:rPr>
      </w:r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6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Сведения о субсидии размещаются на едином портале бюджетной системы Российской Федерации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информационно-телекоммуникационной сети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«Интернет» (далее - сеть «Интернет», единый портал) (в разделе единого портала) в порядке, установленном Министерством финансов Российской Федерации.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7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Категории граждан, у которых возникает право на заключение договора приобретения жилого помещения на территории Курской области с использованием льготного жилищного (ипотечного) кредита (займа) со сниженной процентной ставкой, определены в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пункте 2 Порядка выдачи отдельным категориям граждан свидетельства о праве на заключение договора приобретения жилого помещения на территории Курской области с использованием льготного жилищного (ипотечного) кредита (займа) со сниженной процентной ставкой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утверждаемого постановлением Правительства Курской области.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</w:p>
    <w:p>
      <w:pPr>
        <w:jc w:val="center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  <w:lang w:val="en-US"/>
        </w:rPr>
        <w:t xml:space="preserve">II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. Порядок проведения отбора</w:t>
      </w:r>
      <w:r>
        <w:rPr>
          <w:highlight w:val="white"/>
        </w:rPr>
      </w:r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Получатели субсидии опре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деляются по результатам отбора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пособом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запроса предложений, исходя из соответствия участников отбора критериям отбора, установленным настоящим Порядком, и в порядке очередности поступления заявлений в Министерство.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2.2. В целях проведения отбора Министерство не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позднее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чем за 5 рабочих дней до даты начала приема заявлений и документов размещает на официальном сайте Министерства в информационно-телекоммуникационной сети «Интернет» в разделе «Объявления» объявление о проведении отбора с указанием следующей информации: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сроки проведения отбора;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дата начала подачи и окончания приема заявлений и документов участников отбора, при этом дата окончания приема заявлений и документов не может быть ранее 10-го календарного дня, следующего за днем размещения объявления о проведении отбора;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наименование, место нахождения, почтовый адрес, адрес электронной почты Министерства;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требования к участникам отбора в соответствии с пунктом 2.3 настоящего Порядка и перечень документов, предоставляемых участниками отбора для подтверждения их соответствия указанным требованиям, согласно пункт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2.4 настоящего Порядка;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результат предоставления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доменное имя и (или) указатели страниц государственной информационной системы в сети « Интернет»;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критерии отбора;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порядок подачи участниками отбора заявлений 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требования,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предъявляемые к форме и содержанию заявок;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правила рассмотрения  заявлений;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порядок отклонения заявлений, а также информация об основаниях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их отклонения;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срок, в течение которого победитель (победители) отбора должны подписать соглашение;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дата размещения результатов отбора на официальном сайте Министерства в информационно-телекоммуникационной сети «Интернет» в разделе «Документы».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2.3. Требования, которым должны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участники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 1 число месяца, предшествующего месяцу, в котором проводится отбор: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офшорного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) владения активами в Российской Федерации (далее -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компаний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 расчете доли участия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компаний в капитале российских юридических лиц не учитывается прямое и (или) косвенное участие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акционерных обществ;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 получает средства из областного бюджета на основании иных нормативных правовых актов Курской области на цели, установленные в пункте 1.1 настоящего Порядка;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 является иностранным агентом в соответствии с Федеральным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законом от 14.07.2022 № 255-ФЗ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«О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контроле за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деятельностью лиц, находящихся под иностранным влиянием»;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отсутствуют просроченная задолже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Курской областью (за исключением случаев, установленных Правительством Курской области);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отсутствуют сведения о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б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участнике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реестре недобросовестных поставщиков;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осуществляет деятельность не менее 3 лет (на дату подачи заявления);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площадь возведенного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участником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жилья за последние 3 года составляет не менее 10000 кв. м или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использует счета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эскроу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для расчетов по договорам участия в долевом строительстве в соответствии со статьями 15</w:t>
      </w:r>
      <w:r>
        <w:rPr>
          <w:rFonts w:ascii="Times New Roman" w:hAnsi="Times New Roman" w:cs="Times New Roman" w:eastAsia="Times New Roman"/>
          <w:sz w:val="28"/>
          <w:highlight w:val="white"/>
          <w:vertAlign w:val="superscript"/>
        </w:rPr>
        <w:t xml:space="preserve">4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15</w:t>
      </w:r>
      <w:r>
        <w:rPr>
          <w:rFonts w:ascii="Times New Roman" w:hAnsi="Times New Roman" w:cs="Times New Roman" w:eastAsia="Times New Roman"/>
          <w:sz w:val="28"/>
          <w:highlight w:val="white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Федерального закона от 30.12.2004 № 214-ФЗ;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наличие заключенного с кредитной организацией договора (соглашения) о предоставлении отдельным категориям граждан, приобретающим жилые помещения на территории Курской области,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льготных жилищных (ипотечных) кредитов (займов) со сниженной процентной ставкой, составляющей не более 8 процентов;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наличие согласия, подтверждающего намерение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оплатить за счет собственных сре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дств кр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едитным организациям снижение процентных ставок по льготным жилищным (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ипотечным) кредитам (займам), выданным ими отдельным категориям граждан для приобретения жилых помещений на территории Курской области, в размере не более 22,6 процентов от суммы предоставленного гражданину льготного жилищного (ипотечного) кредита (займа).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 последующих обращениях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получателей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субсидии (участников отбора)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в текущем финансовом году в Министерство за предоставлением субсидии вышеуказанные требования не применяются.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2.4. Для участия в отборе на предоставлен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ие субсидии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представляет в Министерство заявление на предоставление субсидии, составленное по форме согласно приложению № 1 к настоящему Порядку, с приложением следующих документов: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1) выписка из Единого государственного реестра юридических лиц, полученная не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позднее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чем за 1 месяц до даты ее представления в Министерство;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2) согласие на оплату за счет собственных сре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дств кр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едитным организациям снижения процентной ставки по льготным жилищным (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ипотечным) кредитам (займам), выданным ими отдельным категориям граждан для приобретения жилых помещений на территории Курской области, в размере не более 22,6 процентов от суммы предоставленного гражданину льготного жилищного (ипотечного) кредита (займа);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3) копии учредительных документов (устава или учредительного договора);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4) справка территориального органа Федеральной налоговой инспекции, подписанная ее руководителем (уполномоченным лицом), об отсутствии (не превышении размера, определенного пунктом 3 статьи 47 Налогового кодекса Российской Федерации) по состоянию на перво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 число месяца, предшествующего месяцу, в котором планируется заключение соглашения о предоставлении субсидии, задолженности по уплате налогов, сборов, страховых взносов в бюджеты бюджетной системы Российской Федерации на едином налоговом счете Получателя;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5) справка, составленная в произвольной фо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рме и подписанная руководителем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о соответствии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следующим требованиям: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офшорного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) владения активами в Российской Федерации (далее -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компании), а также российским юридическим лицом, в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уставном (складочном) капитале которого доля прямого или косвенного (через третьих лиц) участия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компаний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 расчете доли участия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компаний в капитале российских юридических лиц не учитывается прямое и (или) косвенное участие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офшорных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акционерных обществ;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не является иностранным агентом в соответствии с Федеральным законом «О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контроле за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деятельностью лиц, находящихся под иностранным влиянием»;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6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) копия документа, подтверждающего полномочия лица на осуществление действий от имени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без доверенности (копия решения (протокола) о назначении или об избрании (приказа о назначении)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без доверенности). В случае если от имени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действует иное лицо, прилагается также доверенность на осуществление действий от имени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подписанная руководителем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или уполномоченным этим руководителем лицом, либо нотариально заверенная копия такой доверенности;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7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) информационная карта, составленная по форме согласно приложению № 2 к настоящему Порядку;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8) письмо - ув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едомление, подтверждающее, что 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не находитс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 другого юридического лица), ликвидации, в отношении его не введена процедура банкротства, деятельность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не приостановлена в порядке, предусмотренном законодательством Российской Федерации;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9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) справка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содержащая сведения о неполучении средств из областного бюджета на основании иных нормативных правовых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актов на цели, указанные в пункте 1.1 настоящего Порядка, подписанная руководителем и заверенная печатью (при наличии)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; 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10) справка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содержащая сведения о площади возведенного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им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жилья за последние 3 года в размере не менее 10000 кв. м или сведения об использовании счетов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эскроу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для расчетов по договорам участия в долевом строительстве в соответствии со статьями 15</w:t>
      </w:r>
      <w:r>
        <w:rPr>
          <w:rFonts w:ascii="Times New Roman" w:hAnsi="Times New Roman" w:cs="Times New Roman" w:eastAsia="Times New Roman"/>
          <w:sz w:val="28"/>
          <w:highlight w:val="white"/>
          <w:vertAlign w:val="superscript"/>
        </w:rPr>
        <w:t xml:space="preserve">4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15</w:t>
      </w:r>
      <w:r>
        <w:rPr>
          <w:rFonts w:ascii="Times New Roman" w:hAnsi="Times New Roman" w:cs="Times New Roman" w:eastAsia="Times New Roman"/>
          <w:sz w:val="28"/>
          <w:highlight w:val="white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Федерального закона от 30.12.2004 № 214-ФЗ, подписанная руководителем и заверенная печатью (при наличии)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11) копия договора (соглашения) с кредитной организацией о предоставлении гражданам, приобретающим жилые помещения на территории Курской области, ипотечных кредитов (займов) со сниженной процентной ставкой, составляющей не более 8 процентов;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12) расчет потребности в субсидии на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возмещение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части п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латы за снижение процентной ставки по льготным жилищным (ипотечным) кредитам (займам), выданным отдельным категориям граждан для приобретения жилых помещений на территории Курской области, составленный по форме согласно приложению № 3 к настоящему Порядку;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color w:val="000000"/>
          <w:sz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13) проект соглашения о предоставлении субсидии между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частником 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и Министерством, подписанный со стороны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в 2 экземплярах.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Проект соглашения о предоставлении субсидии Министерство размещает на официальном сайте Министерства в сети «Интернет» в разделе «Документы».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Документы, указанные в подпунктах 1, 4 настоящего пункта, предоставляются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участником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 собственной инициативе. В случае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непредставления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указанных документов Министерство, посредством межведомственного запроса, в том числе в электронной форме с использованием единой системы межведомственного электронного взаим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одействия и подключаемых к ней региональных систем межведомственного электронного взаимодействия, запрашивает и получает указанные документы (содержащиеся в них сведения) из Единого государственного реестра юридических лиц, от Федеральной налоговой службы.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.5. Заявление и документы, указанные в пункте 2.4 настоящего Порядка, для участия в отборе на предоставление субсидии предоставляются в течение 15 рабочих дней с объявленной даты о начале подачи заявлений и документов участников отбора на участие в отборе.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2.6. Заявление и документы регистрируются Министерством в день поступления в журнале регистрации входящей корреспонденции.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Контроль за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правильностью оформления и полнотой предоставленных документов осуществляет Министерство.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Ответственность за достоверность сведений, содержащихся в документах, предоставляемых в соответствии с пунктом 2.4 настоящего Порядка, возлагается на участников отбора.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2.7. Участники отбора вправе отозвать заявление в любое время до окончания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даты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проведения отбора. В случае отзыва заявления участнику отбора возвращается пакет документов, предоставленный на отбор.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Отзыв заявления не препятствует повторному предоставлению в Министерство заявления и документов для участия в отбор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е, но не позднее даты окончания приема заявлений, соответствующей пункту 2.5 настоящего Порядка. При этом регистрация заявления осуществляется в порядке очередности в день повторного предоставления заявления и документов на участие в отборе в Министерство.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2.8. Участники отбора вправе обра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титься в Министерство не позднее, чем за 5 рабочих дней до даты завершения приема документов с обращением в письменном виде о разъяснении положений объявления о проведении отбора и получить разъяснения в течение 5 рабочих дней со дня поступления обращения.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2.9. Критериями отбора являются: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соответствие участника отбора требованиям, указанным в пункте 2.3 настоящего Порядка;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соответствие документов, предоставленных участником отбора для участия в отборе, документам,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указанным в пункте 2.4 настоящего Порядка.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color w:val="000000"/>
          <w:sz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2.10. Министерство в течение 5 рабочих дней со дня окончания сроков принятия заявления и документов, указанных в пункте 2.4 настоящего Порядка, рассматривает их и принимает решение о предоставлении субсидии или об отказе в предоставлении субсидии.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2.11. Основаниями для отказа Министерства в предоставлении субсидии являются: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1) несоответствие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участника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требованиям, установленным пунктом 2.3 настоящего Порядка;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2) установление факта недостоверности представленной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участником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информации;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3) несоответствие предоставленных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участником отбора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документов документам, указанным в пункте 2.4 настоящего Порядка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или непредставление (предоставление не в полном объеме) указанных документов (за исключением документов, указанных в подпунктах 1, 4 пункта 2.4 настоящего Порядка);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4) отсутствие (недостаток) лимита бюджетных обязательств на текущий финансовый год на цели, указанные в пункте 1.1 настоящего Порядка;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5) несоответствие подписанного проекта соглашения о предоставлении субсидии между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участником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 Министерством, указанного в подпункте 14 пункта 2.4 настоящего Порядка, проекту соглашения о предоставлении субсидии, размещенному на официальном сайте Министерства в сети «Интернет» в разделе «Документы»; 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6) предоставление заявления и документов после даты, определенной для подачи заявления и документов.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Если общая сумма заяв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лений, поданных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участниками отбора</w:t>
      </w:r>
      <w:r>
        <w:rPr>
          <w:rFonts w:ascii="Times New Roman" w:hAnsi="Times New Roman" w:cs="Times New Roman" w:eastAsia="Times New Roman"/>
          <w:color w:val="FF0000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установленном порядке, превышает лимит бюджетных обязательств на текущий финансовый год,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субсидированию подлежит те заявления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котор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ые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име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ю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 более ранний срок регистрации в журнале регистрации входящей корреспонденции Министерства.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2.12. В случае наличия оснований, указанных в пункте 2.11 настоящего Порядка, Министерство направляет посредством почтовой связи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участнику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письменное уведомление об отказе в предоставлении субсидии (с указанием причин отказа) в течение 5 рабочих дней со дня принятия решения об отказе в предоставлении субсидии.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 устранении причин отказа (за исключением оснований для отказа, указанных в подпунктах 4, 6 пункта 2.11 настоящего Порядка)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участник отбора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имеет право повторно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предоставить документы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в Министерство с учетом установленных Министерством сроков предоставления документов в соответствии с пунктом 2.5 настоящего Порядка.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2.1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3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Информация об итогах проведения отбора на предоставление субсидии размещается на официальном сайте Министерства в информационно-телекоммуникационной сети «Интернет» в срок, не превышающий 10 рабочих дней со дня принятия решения о предоставлении субсидии.</w:t>
      </w:r>
      <w:r>
        <w:rPr>
          <w:highlight w:val="white"/>
        </w:rPr>
      </w:r>
    </w:p>
    <w:p>
      <w:pPr>
        <w:contextualSpacing w:val="true"/>
        <w:ind w:firstLine="53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2.14. Министерство вправе отменить проведение отбора не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чем за 1 (один) рабочий день до даты окончания срока подачи заявлении участниками отбора, в случае:</w:t>
      </w:r>
      <w:r>
        <w:rPr>
          <w:highlight w:val="white"/>
        </w:rPr>
      </w:r>
    </w:p>
    <w:p>
      <w:pPr>
        <w:contextualSpacing w:val="true"/>
        <w:ind w:firstLine="53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изменения объема лимитов бюджетных обязательств, доведенных до Министерства на цели, указанные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пункте 1.1 настоящего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Порядка;</w:t>
      </w:r>
      <w:r>
        <w:rPr>
          <w:highlight w:val="white"/>
        </w:rPr>
      </w:r>
    </w:p>
    <w:p>
      <w:pPr>
        <w:contextualSpacing w:val="true"/>
        <w:ind w:firstLine="53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в случае необходимости изменения условий отбора, связанных с изменениями действующего законодательства.</w:t>
      </w:r>
      <w:r>
        <w:rPr>
          <w:highlight w:val="white"/>
        </w:rPr>
      </w:r>
    </w:p>
    <w:p>
      <w:pPr>
        <w:contextualSpacing w:val="true"/>
        <w:ind w:firstLine="53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Объявление об отмене проведения отбора размещается на официальном сайте Министерства, указанном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2.2 настоящего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Порядка, не позднее следующего рабочего дня после принятия Министерством соответствующего решения.</w:t>
      </w:r>
      <w:r>
        <w:rPr>
          <w:highlight w:val="white"/>
        </w:rPr>
      </w:r>
    </w:p>
    <w:p>
      <w:pPr>
        <w:contextualSpacing w:val="true"/>
        <w:ind w:firstLine="53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принятом решении Министерство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уведомляет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участников отбора, подавших заявления на участие в отборе, не позднее 3 (трех) рабочих дней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даты принятия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решения Министерством.</w:t>
      </w:r>
      <w:r>
        <w:rPr>
          <w:highlight w:val="white"/>
        </w:rPr>
      </w:r>
    </w:p>
    <w:p>
      <w:pPr>
        <w:contextualSpacing w:val="true"/>
        <w:ind w:firstLine="53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 считается отмененным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даты размещения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объявления об отмене его проведения на официальном сайте Министерства.</w:t>
      </w:r>
      <w:r>
        <w:rPr>
          <w:highlight w:val="white"/>
        </w:rPr>
      </w:r>
    </w:p>
    <w:p>
      <w:pPr>
        <w:contextualSpacing w:val="true"/>
        <w:ind w:firstLine="53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После отмены проведения отбора Министерство осуществляет возврат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поданных участниками отбора документов.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</w:p>
    <w:p>
      <w:pPr>
        <w:jc w:val="center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  <w:lang w:val="en-US"/>
        </w:rPr>
        <w:t xml:space="preserve">III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. Условия и порядок предоставления субсидий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3.1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В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случае отсутствия оснований, указанных в пункте 2.11 настоящего Порядка, Министерство не позднее 15 рабочих дней со дня принятия решения о предоставлении субсидии заключает с получателем субсидии соглашение о предоставлении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(далее – соглашение)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Один экземпляр подписанного сторонами соглашения Министерство направляет получателю субсидии посредством почтовой связи или вручает под роспись в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течение 15 рабочих дней со дня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заключения соглашения.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3.2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В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соглашение в том числе включаются: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результаты предоставления субсидии,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предусмотренные пунктом 3.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1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 настоящего Порядка;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сроки и формы предоставления отчета о достижении значения результатов предоставления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порядок возврата субсидии за нарушение условий и порядка предоставления субсидий, в том числе за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недостижение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результата предоставления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требование о согласовании новых условий соглашения или о расторжении соглашения при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недостижении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согласия по новым условиям в случае уменьшения Министерству ранее доведенных лимитов бюджетных обязательств, приводящем к невозможности предоставления субсидии в размере, определенном в соглашении о предоставлении субсидии.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Соглашение заключается Министерством с получателем субсидии на один календарный год.</w:t>
      </w:r>
      <w:r>
        <w:rPr>
          <w:highlight w:val="white"/>
        </w:rPr>
      </w:r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Получатель субсидии, не подписавший Соглашение в срок, установленный пунктом 3.1 настоящего Порядка, признается уклонившимся от заключения Соглашения. 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4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Расчет размера субсидии, предоставляемой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получателю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определяется по формуле:</w:t>
      </w:r>
      <w:r>
        <w:rPr>
          <w:highlight w:val="white"/>
        </w:rPr>
      </w:r>
    </w:p>
    <w:p>
      <w:pPr>
        <w:contextualSpacing w:val="true"/>
        <w:ind w:firstLine="709"/>
        <w:jc w:val="center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Зi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=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x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0,5,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где: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З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i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- размер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предоставляемой получателю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З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- размер платы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получателя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кредитным организациям за снижение процентной ставки по жилищным (ипотечным) кредитам (займам), выданным отдельным категориям граждан для приобретения жилых помещений на территории Курской области по сниженной процентной ставке;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5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Субсидия предоставляется при следующих условиях: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а) соответствие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получателя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требованиям, определенным пунктом 2.3 настоящего Порядка;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б) заключение с Министерством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соглашения, дополнительного соглашения к соглашению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соответствии с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Типов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ой формой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соглашения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дополнительного соглашения, установленн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ой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финансовым органом Курской области;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в) согласие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получателя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 осуществление Министерством, органами государственного финансового контроля проверок соблюдения условий и порядка предоставления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г) фактическая оплата кредитным организациям снижения процентной ставки по льготным жилищным (ипотечным) кредитам (займам), выданным отдельным категориям граждан для приобретения жилых помещений на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территории Курской области и направленным этими гражданами на оплату цены договоров приобретения жилого помещения на территории Курской области у застройщика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(получателя субсидии)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6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Перечисление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субсидии осуществляется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Министерством на основании заявки, составленной по форме согласно приложению № 4 к настоящему Порядку (далее - заявка), предоставляемой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получателем субсидии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ежемесячно не позднее 15-го числа месяца, следующего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отчетным.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Для перечисления субсидии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получатель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предоставляет в Министерство следующие документы: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1) копии свидетельств,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представленных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гражданами, заключившими договоры приобретения жилых помещений с использованием льготного жилищного (ипотечного) кредита (займа) со сниженной процентной ставкой;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2) копии заключенных гражданами договоров приобретения жилых помещений на территории Курской области с использованием льготного жилищного (ипотечного) кредита (займа) со сниженной процентной ставкой;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3) документы, подтверждающие фактически понесенные расходы на оплату кредитным организациям снижения процентной ставки по жилищным (ипотечным) кредитам (займам), выданным отдельным категориям граждан для приобретения жилых помещений на те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рритории Курской области (платежные поручения, реестр договоров приобретения или строительства жилья за счет средств, предоставленных гражданам по кредитным договорам (договорам займа) со сниженной процентной ставкой по форме, установленной Министерством).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7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Министерство регистрирует заявку и документы, указанные в пункте 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6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настоящего Порядка, в день их поступления в журнале регистрации входящей корреспонденции.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Министерство в течение 5 рабочих дней со дня регистрации заявки и документов, указанных в пункте 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6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настоящего Порядка, рассматривает их и принимает решение о перечислении или об отказе в перечислении субсидии.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принятом решении Министерство информирует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получателя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путем нап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равления посредством почтовой связи или вручением под роспись в срок, указанный в абзаце втором настоящего пункта, письменного уведомления о перечислении или об отказе в перечислении субсидии (с указанием причин отказа), составленного в произвольной форме.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8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Основаниями для отказа Министерства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перечислении субсидии являются: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1)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непредоставление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или предоставление не в полном объеме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получателем субсидии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документов, установленных пунктом 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6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настоящего Порядка;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2) установление факта недостоверности представленной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получателем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информации.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9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 отсутствии оснований для отказа в перечислении субсидий, указанных в пункте 3.8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настоящего Порядка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п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еречисление субсидии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осуществляется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Министерством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 расчетный счет получателя субсидии, открытый в российской кредитной организации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не позднее 5-го рабочего дня, следующего за днем принятия решения о предоставлении субсидии.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3.10. Для каждого получателя субсидии в соглашении устанавливается размер субсидии на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возмещение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части платы застройщика кредитным организациям за снижение процентной ставки по льготным жилищным (ипотечным) кредитам (займам), выданным отдельным категориям граждан для приобретения жилых помещений на территории Курской области (далее – объем субсидии).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3.11 Результатом предоставления субсидии является количество семей, котор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ы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 приобрел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жилые помещения на территории Курской области с использованием жилищных (ипотечных) кредитов (займов) со сниженной процентной ставкой, полученных при государственной поддержке за счет средств областного бюджета.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3.1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При реорганизации получателя субсидии в форме слияния, присоединения или преобразования в соглашение о предос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3.1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3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При реор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ганизации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получателя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форме разделения, выделения, а также при лик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субсидии. </w:t>
      </w:r>
      <w:r>
        <w:rPr>
          <w:highlight w:val="white"/>
        </w:rPr>
      </w:r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3.1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4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В случае обра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щения получателя субсидии о перераспределении объема субсидии с предоставлением скорректированного расчета согласно подпункту 13 пункта 2.4 настоящего Порядка Министерство пропорционально перераспределяет объем субсидии между другими получателями субсидии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заключением дополнительного соглашения к соглашению о предоставлении субсидии.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Обращение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получ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теля 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о перераспределении объема субсидии, определенного соглашением о предоставлении субсидии, не является основанием для прекращения предоставления субсидии.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3.1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5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. В случае доведения Министерству дополнительных лимитов бюджетных обязательств на цели, указанные в пункте 1.1 настоящих Правил, проводится дополнительный отбор.</w:t>
      </w:r>
      <w:r>
        <w:rPr>
          <w:highlight w:val="white"/>
        </w:rPr>
      </w:r>
    </w:p>
    <w:p>
      <w:pPr>
        <w:contextualSpacing w:val="true"/>
        <w:spacing w:lineRule="atLeast" w:line="283"/>
        <w:rPr>
          <w:rFonts w:ascii="Times New Roman" w:hAnsi="Times New Roman" w:cs="Times New Roman" w:eastAsia="Times New Roman"/>
          <w:b/>
          <w:highlight w:val="white"/>
        </w:rPr>
      </w:pPr>
      <w:r>
        <w:rPr>
          <w:rFonts w:ascii="Times New Roman" w:hAnsi="Times New Roman" w:cs="Times New Roman" w:eastAsia="Times New Roman"/>
          <w:b/>
          <w:highlight w:val="white"/>
        </w:rPr>
      </w:r>
      <w:r>
        <w:rPr>
          <w:highlight w:val="white"/>
        </w:rPr>
      </w:r>
    </w:p>
    <w:p>
      <w:pPr>
        <w:contextualSpacing w:val="true"/>
        <w:spacing w:lineRule="atLeast" w:line="283"/>
        <w:rPr>
          <w:rFonts w:ascii="Times New Roman" w:hAnsi="Times New Roman" w:cs="Times New Roman" w:eastAsia="Times New Roman"/>
          <w:b/>
          <w:highlight w:val="white"/>
        </w:rPr>
      </w:pPr>
      <w:r>
        <w:rPr>
          <w:rFonts w:ascii="Times New Roman" w:hAnsi="Times New Roman" w:cs="Times New Roman" w:eastAsia="Times New Roman"/>
          <w:b/>
          <w:highlight w:val="white"/>
        </w:rPr>
      </w:r>
      <w:r>
        <w:rPr>
          <w:highlight w:val="white"/>
        </w:rPr>
      </w:r>
    </w:p>
    <w:p>
      <w:pPr>
        <w:contextualSpacing w:val="true"/>
        <w:spacing w:lineRule="atLeast" w:line="283"/>
        <w:rPr>
          <w:rFonts w:ascii="Times New Roman" w:hAnsi="Times New Roman" w:cs="Times New Roman" w:eastAsia="Times New Roman"/>
          <w:b/>
          <w:highlight w:val="white"/>
        </w:rPr>
      </w:pPr>
      <w:r>
        <w:rPr>
          <w:rFonts w:ascii="Times New Roman" w:hAnsi="Times New Roman" w:cs="Times New Roman" w:eastAsia="Times New Roman"/>
          <w:b/>
          <w:highlight w:val="white"/>
        </w:rPr>
      </w:r>
      <w:r>
        <w:rPr>
          <w:highlight w:val="white"/>
        </w:rPr>
      </w:r>
    </w:p>
    <w:p>
      <w:pPr>
        <w:contextualSpacing w:val="true"/>
        <w:spacing w:lineRule="atLeast" w:line="283"/>
        <w:rPr>
          <w:rFonts w:ascii="Times New Roman" w:hAnsi="Times New Roman" w:cs="Times New Roman" w:eastAsia="Times New Roman"/>
          <w:b/>
          <w:highlight w:val="white"/>
        </w:rPr>
      </w:pPr>
      <w:r>
        <w:rPr>
          <w:rFonts w:ascii="Times New Roman" w:hAnsi="Times New Roman" w:cs="Times New Roman" w:eastAsia="Times New Roman"/>
          <w:b/>
          <w:highlight w:val="white"/>
        </w:rPr>
      </w:r>
      <w:r>
        <w:rPr>
          <w:highlight w:val="white"/>
        </w:rPr>
      </w:r>
    </w:p>
    <w:p>
      <w:pPr>
        <w:contextualSpacing w:val="true"/>
        <w:spacing w:lineRule="atLeast" w:line="283"/>
        <w:rPr>
          <w:rFonts w:ascii="Times New Roman" w:hAnsi="Times New Roman" w:cs="Times New Roman" w:eastAsia="Times New Roman"/>
          <w:b/>
          <w:highlight w:val="white"/>
        </w:rPr>
      </w:pPr>
      <w:r>
        <w:rPr>
          <w:rFonts w:ascii="Times New Roman" w:hAnsi="Times New Roman" w:cs="Times New Roman" w:eastAsia="Times New Roman"/>
          <w:b/>
          <w:highlight w:val="white"/>
        </w:rPr>
      </w:r>
      <w:r>
        <w:rPr>
          <w:highlight w:val="white"/>
        </w:rPr>
      </w:r>
    </w:p>
    <w:p>
      <w:pPr>
        <w:contextualSpacing w:val="true"/>
        <w:spacing w:lineRule="atLeast" w:line="283"/>
        <w:rPr>
          <w:rFonts w:ascii="Times New Roman" w:hAnsi="Times New Roman" w:cs="Times New Roman" w:eastAsia="Times New Roman"/>
          <w:b/>
          <w:highlight w:val="white"/>
        </w:rPr>
      </w:pPr>
      <w:r>
        <w:rPr>
          <w:rFonts w:ascii="Times New Roman" w:hAnsi="Times New Roman" w:cs="Times New Roman" w:eastAsia="Times New Roman"/>
          <w:b/>
          <w:highlight w:val="white"/>
        </w:rPr>
      </w:r>
      <w:r>
        <w:rPr>
          <w:highlight w:val="white"/>
        </w:rPr>
      </w:r>
    </w:p>
    <w:p>
      <w:pPr>
        <w:contextualSpacing w:val="true"/>
        <w:spacing w:lineRule="atLeast" w:line="283"/>
        <w:rPr>
          <w:rFonts w:ascii="Times New Roman" w:hAnsi="Times New Roman" w:cs="Times New Roman" w:eastAsia="Times New Roman"/>
          <w:b/>
          <w:highlight w:val="white"/>
        </w:rPr>
      </w:pPr>
      <w:r>
        <w:rPr>
          <w:rFonts w:ascii="Times New Roman" w:hAnsi="Times New Roman" w:cs="Times New Roman" w:eastAsia="Times New Roman"/>
          <w:b/>
          <w:highlight w:val="white"/>
        </w:rPr>
      </w:r>
      <w:r>
        <w:rPr>
          <w:highlight w:val="white"/>
        </w:rPr>
      </w:r>
    </w:p>
    <w:p>
      <w:pPr>
        <w:contextualSpacing w:val="true"/>
        <w:ind w:firstLine="709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  <w:lang w:val="en-US"/>
        </w:rPr>
        <w:t xml:space="preserve">IV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. Порядок предоставления отчетности, </w:t>
      </w:r>
      <w:r>
        <w:rPr>
          <w:highlight w:val="white"/>
        </w:rPr>
      </w:r>
    </w:p>
    <w:p>
      <w:pPr>
        <w:contextualSpacing w:val="true"/>
        <w:ind w:firstLine="709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осуществления 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контроля  за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 соблюдением условий и порядка предоставления субсидии и ответственности за их нарушение</w:t>
      </w:r>
      <w:r>
        <w:rPr>
          <w:highlight w:val="white"/>
        </w:rPr>
      </w:r>
    </w:p>
    <w:p>
      <w:pPr>
        <w:contextualSpacing w:val="true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4.1. Получатель субсидии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предоставляет в Министерство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 о достижении значений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 позднее 10 рабочих дней следующих за отчетным месяцем по форме, определенной типовой формой соглашения, установленной финансовым органом Курской области;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4.2. Отчет о достижении значений результатов предоставления субсидии предоставляется получателем субсидии в Министерство нарочным способом с распиской в получении или по почте заказным письмом с уведомлением о вручении. </w:t>
      </w:r>
      <w:r>
        <w:rPr>
          <w:highlight w:val="white"/>
        </w:rPr>
      </w:r>
    </w:p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4.3. Министерство осуществляет проверку и принятие отчетов, представленных получателем субсидии в соответствии с </w:t>
      </w:r>
      <w:hyperlink r:id="rId14" w:tooltip="https://login.consultant.ru/link/?req=doc&amp;base=LAW&amp;n=463136&amp;dst=100168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пунктом 4.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настоящих Правил в срок, не превышающий 10 рабочих дней со дня представления таких отчетов.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4.4. Проверка соблюдения получателем субсидии условий и порядка предоставления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субсидии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в том числе в части достижения результата предоставления субсидии, осуществляется Министерством, а также органами государственного финансового контроля в соответствии со статьями 268</w:t>
      </w:r>
      <w:r>
        <w:rPr>
          <w:rFonts w:ascii="Times New Roman" w:hAnsi="Times New Roman" w:cs="Times New Roman" w:eastAsia="Times New Roman"/>
          <w:sz w:val="28"/>
          <w:highlight w:val="white"/>
          <w:vertAlign w:val="superscript"/>
        </w:rPr>
        <w:t xml:space="preserve">1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 269</w:t>
      </w:r>
      <w:r>
        <w:rPr>
          <w:rFonts w:ascii="Times New Roman" w:hAnsi="Times New Roman" w:cs="Times New Roman" w:eastAsia="Times New Roman"/>
          <w:sz w:val="28"/>
          <w:highlight w:val="white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Бюджетного кодекса Российской Федерации. 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установлении Министерством или органами, осуществляющими государственный финансовый контроль, нарушения получателем субсидии порядка и условий предоставления субсидии, Министерство в течение 10 рабочих дней со дня установления нарушений, в том числе факта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недостижения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результата предоставления субсидии, направляет получателю субсидии требование по форме, утвержденной Министерством: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и порядка предоставления субсидии, за исключением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недостижения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результата предоставления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возврате средств субсидии на лицевой счет Министерства в течение 10 рабочих дней со дня получения указанного требования в случае нарушения условий и порядка в части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недостижения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результата предоставления субсидии, установленного при предоставлении отчета о достижении результата предоставления субсидии, исходя из расчета: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contextualSpacing w:val="true"/>
        <w:ind w:firstLine="709"/>
        <w:jc w:val="center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субсидии = ((100% - (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Рд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/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Рп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x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100%))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x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субсидии,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где: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субсидии - размер возврата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Рд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- достигнутое значение результата предоставления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Рп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- плановое значение результата предоставления субсидии;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субсидии - размер полученной субсидии, тысяч рублей.</w:t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</w:p>
    <w:p>
      <w:pPr>
        <w:contextualSpacing w:val="true"/>
        <w:ind w:firstLine="709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случае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неперечисления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средств субсидии в сроки, установленные в настоящем пункте, они подлежат взысканию в порядке, установленном действующим законодательством.</w:t>
      </w:r>
      <w:r>
        <w:rPr>
          <w:highlight w:val="white"/>
        </w:rPr>
      </w:r>
    </w:p>
    <w:p>
      <w:pPr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br w:type="page"/>
      </w:r>
      <w:r/>
    </w:p>
    <w:p>
      <w:pPr>
        <w:contextualSpacing w:val="true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6061"/>
      </w:tblGrid>
      <w:tr>
        <w:trPr>
          <w:trHeight w:val="2999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509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06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Приложение № 1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 Порядку предоставления субсидий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застройщикам на возмещение части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платы кредитным организациям за снижение процентной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ставки по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льготным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жилищным (ипотечным)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кредитам (займам), выдаваемым ими гражданам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для приобретения жилых помещений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на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территории Курской области</w:t>
            </w:r>
            <w:r/>
          </w:p>
        </w:tc>
      </w:tr>
    </w:tbl>
    <w:p>
      <w:pPr>
        <w:contextualSpacing w:val="true"/>
        <w:jc w:val="both"/>
        <w:spacing w:lineRule="auto" w:line="240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right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Форма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</w:t>
      </w:r>
      <w:r/>
    </w:p>
    <w:p>
      <w:pPr>
        <w:jc w:val="right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Министру строительства Курской области</w:t>
      </w:r>
      <w:r/>
    </w:p>
    <w:p>
      <w:pPr>
        <w:jc w:val="right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contextualSpacing w:val="true"/>
        <w:jc w:val="center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ЗАЯВЛЕНИЕ</w:t>
      </w:r>
      <w:r/>
    </w:p>
    <w:p>
      <w:pPr>
        <w:contextualSpacing w:val="true"/>
        <w:jc w:val="center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 предоставление субсидии</w:t>
      </w:r>
      <w:r/>
    </w:p>
    <w:p>
      <w:pPr>
        <w:jc w:val="both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__________________________________________________________________,</w:t>
      </w:r>
      <w:r/>
    </w:p>
    <w:p>
      <w:pPr>
        <w:contextualSpacing w:val="true"/>
        <w:jc w:val="center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(полное наименование организации, ИНН/КПП)</w:t>
      </w:r>
      <w:r/>
    </w:p>
    <w:p>
      <w:pPr>
        <w:contextualSpacing w:val="true"/>
        <w:jc w:val="both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  лице  _________________________________,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действующего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на основании</w:t>
      </w:r>
      <w:r/>
    </w:p>
    <w:p>
      <w:pPr>
        <w:contextualSpacing w:val="true"/>
        <w:jc w:val="both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(ФИО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р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уководителя /представителя)</w:t>
      </w:r>
      <w:r/>
    </w:p>
    <w:p>
      <w:pPr>
        <w:contextualSpacing w:val="true"/>
        <w:jc w:val="both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__________________________________________________________________</w:t>
      </w:r>
      <w:r/>
    </w:p>
    <w:p>
      <w:pPr>
        <w:jc w:val="both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(реквизиты документа, подтверждающего полномочия)</w:t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настоящим  подтверждает, что соответствует требованиям, предъявляемым к застройщикам,  претендующим  на  получение  субсидии  в  рамках  реализации постановления  Админис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трации  Курской  области  от  21.09.2021  № 976-па «О создании  условий  на  территории  Курской  области  для улучшения жилищных условий  отдельных  категорий граждан с использованием льготного ипотечного кредитования с привлечением средств застройщиков»;</w:t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просит  заключить  соглашение о предоставлении субсидий застройщикам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на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возмещение части платы кредитным организациям за снижение процентной ставки по   льготным   жилищным  (ипотечным)  кредитам  (займам),  выдаваемым  ими гражданам для приобретения жилых помещений на территории Курской области.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Приложение: (документы в соответствии с пунктом 2.4 Порядка предоставления субсидий  застройщикам  на возмещение части платы кредитным организациям за снижение  процентной  ставки  по  льготным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жилищным  (ипотечным)  кредитам (займам),  выдаваемым  ими  гражданам  для  приобретения жилых помещений на территории Курской области)</w:t>
      </w:r>
      <w:r/>
    </w:p>
    <w:p>
      <w:pPr>
        <w:jc w:val="both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1. 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2. ________________________________________________________________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3. ________________________________________________________________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4. ________________________________________________________________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5. ________________________________________________________________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6. ________________________________________________________________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7. ________________________________________________________________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8. ________________________________________________________________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9. ________________________________________________________________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10. 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11. _______________________________________________________________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12. _______________________________________________________________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Руководитель/представитель застройщика_______ ________________ ______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(подпись)     (фамилия, имя, отчество       (дата)</w:t>
      </w:r>
      <w:r/>
    </w:p>
    <w:p>
      <w:pPr>
        <w:jc w:val="both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                                                                                                     (при наличии)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М.П. (при наличии)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6061"/>
      </w:tblGrid>
      <w:tr>
        <w:trPr>
          <w:trHeight w:val="2999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509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06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Приложение № 2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 Порядку предоставления субсидий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застройщикам на возмещение части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платы кредитным организациям за снижение процентной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ставки по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льготным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жилищным (ипотечным)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кредитам (займам), выдаваемым ими гражданам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для приобретения жилых помещений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на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территории Курской области</w:t>
            </w:r>
            <w:r/>
          </w:p>
        </w:tc>
      </w:tr>
    </w:tbl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Информационная карта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________________________________________________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  <w:t xml:space="preserve">(наименование организации)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945"/>
        <w:gridCol w:w="1951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Наименование показателя</w:t>
            </w:r>
            <w:r/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Значение показателя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1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2</w:t>
            </w:r>
            <w:r/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3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1.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Лицо, уполномоченное застройщиком представлять его интересы в Министерстве строительства Курской области (Ф. И. О., должность, контактный телефон, факс и адрес электронной почты)</w:t>
            </w:r>
            <w:r/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>
          <w:trHeight w:val="996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2.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Адрес, телефон, факс; электронная почта и сайт застройщика в информационно-телекоммуникационной сети «Интернет»</w:t>
            </w:r>
            <w:r/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3.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Дата создания застройщика (на дату подачи заявки).</w:t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Учитывается срок функционирования учредителей/группы компаний</w:t>
            </w:r>
            <w:r/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4.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Площадь возведенной недвижимости жилья за последние 3 года (на дату подачи заявки)</w:t>
            </w:r>
            <w:r/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5.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Сведения об использовании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эскроу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счетов</w:t>
            </w:r>
            <w:r/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6.</w:t>
            </w:r>
            <w:r/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Наличие опыта участия в реализации государственных, ведомственных и иных программ, связанных с получением средств из соответствующего бюджета бюджетной системы Российской Федерации</w:t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</w:tbl>
    <w:p>
      <w:pPr>
        <w:jc w:val="both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Руководитель застройщика _________  _______________________  _________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(подпись)               (фамилия, имя, отчество                           (дата)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                                                                               (при наличии)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М.П. (при наличии)</w:t>
      </w:r>
      <w:r/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6061"/>
      </w:tblGrid>
      <w:tr>
        <w:trPr>
          <w:trHeight w:val="2999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509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06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Приложение № 3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 Порядку предоставления субсидий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застройщикам на возмещение части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платы кредитным организациям за снижение процентной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ставки по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льготным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жилищным (ипотечным)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кредитам (займам), выдаваемым ими гражданам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для приобретения жилых помещений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на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территории Курской области</w:t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Расчет потребности 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в субсидии застройщикам на возмещение части платы кредитным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организациям за снижение процентной ставки 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по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 льготным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жилищным (ипотечным) кредитам (займам), выдаваемым ими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гражданам для приобретения жилых помещений на территории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Курской области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__________________________________________________________________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  <w:t xml:space="preserve">(наименование организации)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просит выделить лимит на  перечисление  из областного  бюджета  сре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дств дл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я последующего возмещения планируемых  расходов на оплату снижения процентной ставки по жилищным  (ипотечным)  кредитам  (з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аймам),  выдаваемым  отдельным категориям граждан для  приобретения жилых  помещений на территории Курской области, в рамках  реализации  постановления  Администрации Курской области от 21.09.2021 № 976-па       в размере __________________________ рублей.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(сумма цифрами и прописью)</w:t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Площадь жилых помещений  (в том числе не  завершенных  строительством),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планируемых   к  реализации  в  рамках  соглашения  (договора)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кредитной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организацией, составляет кв. м на общую сумму__________________ рублей.</w:t>
      </w:r>
      <w:r/>
    </w:p>
    <w:p>
      <w:pPr>
        <w:jc w:val="both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(сумма цифрами и прописью)</w:t>
      </w:r>
      <w:r/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2551"/>
        <w:gridCol w:w="2943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Площадь жилых помещений (кв. м)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Средняя стоимость 1 кв. м (рублей)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Максимальный размер предполагаемого льготного ипотечного кредита (займа)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(столбец 2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3 - % первоначального взноса граждан)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Предполагаемый размер субсидии на возмещение части платы за снижение процентной ставки по льготным жилищным (ипотечным) кредитам (займам), выдаваемым отдельным категориям граждан для приобретения жилых помещений на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территории Курской области (рублей) (столбец 4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К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&lt;*&gt;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0,5)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3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4</w:t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5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</w:tbl>
    <w:p>
      <w:pPr>
        <w:jc w:val="both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Руководитель застройщика  __________  ___________________ ___________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(подпись)          (фамилия, имя, отчество                  (дата)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                                                                                  при наличии)</w:t>
      </w:r>
      <w:r/>
    </w:p>
    <w:p>
      <w:pPr>
        <w:jc w:val="both"/>
        <w:rPr>
          <w:highlight w:val="white"/>
        </w:rPr>
      </w:pPr>
      <w:r>
        <w:rPr>
          <w:highlight w:val="white"/>
        </w:rPr>
      </w:r>
      <w:r/>
    </w:p>
    <w:p>
      <w:pPr>
        <w:jc w:val="both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М.П. (при наличии)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--------------------------------</w:t>
      </w:r>
      <w:r/>
    </w:p>
    <w:p>
      <w:pPr>
        <w:jc w:val="both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&lt;*&gt;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К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- процент рассчитывается кредитными организациями в  соответствии с  дифференцированным  тарифом   за  субсидию  в  зависимости от  программы кредитования (но не более 22,6 %).</w:t>
      </w:r>
      <w:r/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6061"/>
      </w:tblGrid>
      <w:tr>
        <w:trPr>
          <w:trHeight w:val="2999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509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06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Приложение № 4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 Порядку предоставления субсидий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застройщикам на возмещение части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платы кредитным организациям за снижение процентной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ставки по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льготным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жилищным (ипотечным)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кредитам (займам), выдаваемым ими гражданам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для приобретения жилых помещений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на</w:t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территории Курской области</w:t>
            </w:r>
            <w:r/>
          </w:p>
        </w:tc>
      </w:tr>
    </w:tbl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Заявка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на перечисление субсидий застройщикам на возмещение части платы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кредитным организациям за снижение процентной ставки 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по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льготным жилищным (ипотечным) кредитам (займам), выдаваемым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ими гражданам для приобретения жилых помещений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b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на территории Курской области</w:t>
      </w:r>
      <w:r/>
    </w:p>
    <w:p>
      <w:pPr>
        <w:jc w:val="both"/>
        <w:rPr>
          <w:highlight w:val="white"/>
        </w:rPr>
      </w:pPr>
      <w:r>
        <w:rPr>
          <w:highlight w:val="white"/>
        </w:rPr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__________________________________________________________________</w:t>
      </w:r>
      <w:r/>
    </w:p>
    <w:p>
      <w:pPr>
        <w:contextualSpacing w:val="true"/>
        <w:jc w:val="center"/>
        <w:spacing w:lineRule="atLeast" w:line="283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  <w:t xml:space="preserve">(наименование организации)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просит  выделить из областного бюджета средства для возмещения понесенных в ________________________________________________ 20__ г.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(месяц)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расходов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на  оплату  снижения  процентной  ставки  по  льготным  жилищным (ипотечным)  кредитам (займам), выдаваемым отдельным категориям граждан для приобретения  жилых  помещений  на  территории  Курской  области, в размере_______________________________ рублей.</w:t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                                                   (сумма цифрами и прописью)</w:t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Количество   заключенных   договоров   приобретения   жилых   помещений</w:t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составляет ______ штук на общую сумму _______________________ рублей.</w:t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(сумма цифрами и прописью)</w:t>
      </w:r>
      <w:r/>
    </w:p>
    <w:p>
      <w:pPr>
        <w:contextualSpacing w:val="true"/>
        <w:jc w:val="both"/>
        <w:spacing w:lineRule="atLeast" w:line="283"/>
        <w:rPr>
          <w:rFonts w:ascii="Times New Roman" w:hAnsi="Times New Roman" w:cs="Times New Roman" w:eastAsia="Times New Roman"/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</w:r>
      <w:r/>
    </w:p>
    <w:tbl>
      <w:tblPr>
        <w:tblStyle w:val="70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2126"/>
        <w:gridCol w:w="2021"/>
        <w:gridCol w:w="1914"/>
      </w:tblGrid>
      <w:tr>
        <w:trPr/>
        <w:tc>
          <w:tcPr>
            <w:tcW w:w="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Ф.И.О. гражданина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Номер и дата договора приобретения жилого помещения, характеристика приобретаемого жилого помещения (адрес, площадь)</w:t>
            </w:r>
            <w:r/>
          </w:p>
        </w:tc>
        <w:tc>
          <w:tcPr>
            <w:tcW w:w="2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Объем средств, привлеченных гражданином в рамках ипотечного договора (рублей)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Размер расходов на оплату снижения процентной ставки по жилищным (ипотечным) кредитам (займам), выдаваемым отдельным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категориям граждан для приобретения жилых помещений на территории Курской области (рублей)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/>
        <w:tc>
          <w:tcPr>
            <w:tcW w:w="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1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3</w:t>
            </w:r>
            <w:r/>
          </w:p>
        </w:tc>
        <w:tc>
          <w:tcPr>
            <w:tcW w:w="2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4</w:t>
            </w:r>
            <w:r/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5</w:t>
            </w:r>
            <w:r/>
          </w:p>
        </w:tc>
      </w:tr>
      <w:tr>
        <w:trPr/>
        <w:tc>
          <w:tcPr>
            <w:tcW w:w="8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1.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20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19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/>
        <w:tc>
          <w:tcPr>
            <w:tcW w:w="8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...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20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19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56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Итого</w:t>
            </w:r>
            <w:r/>
          </w:p>
        </w:tc>
        <w:tc>
          <w:tcPr>
            <w:tcW w:w="20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W w:w="19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contextualSpacing w:val="true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Руководитель застройщика _________ _________________________ _______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0"/>
          <w:highlight w:val="white"/>
        </w:rPr>
        <w:t xml:space="preserve">(подпись)                   (фамилия, имя, отчество                     (дата)</w:t>
      </w:r>
      <w:r/>
    </w:p>
    <w:p>
      <w:pPr>
        <w:contextualSpacing w:val="true"/>
        <w:jc w:val="both"/>
        <w:spacing w:lineRule="atLeast" w:line="283"/>
        <w:rPr>
          <w:sz w:val="20"/>
          <w:highlight w:val="white"/>
        </w:rPr>
      </w:pPr>
      <w:r>
        <w:rPr>
          <w:rFonts w:ascii="Times New Roman" w:hAnsi="Times New Roman" w:cs="Times New Roman" w:eastAsia="Times New Roman"/>
          <w:sz w:val="20"/>
          <w:highlight w:val="white"/>
        </w:rPr>
        <w:t xml:space="preserve">                                                                                                                    (при наличии)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М.П. (при наличии)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69296060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4</w:t>
        </w:r>
        <w:r>
          <w:rPr>
            <w:rFonts w:ascii="Times New Roman" w:hAnsi="Times New Roman" w:cs="Times New Roman"/>
            <w:sz w:val="24"/>
          </w:rPr>
          <w:fldChar w:fldCharType="end"/>
        </w:r>
        <w:r/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Title Char"/>
    <w:basedOn w:val="665"/>
    <w:link w:val="692"/>
    <w:uiPriority w:val="10"/>
    <w:rPr>
      <w:sz w:val="48"/>
      <w:szCs w:val="48"/>
    </w:rPr>
  </w:style>
  <w:style w:type="character" w:styleId="669" w:customStyle="1">
    <w:name w:val="Subtitle Char"/>
    <w:basedOn w:val="665"/>
    <w:link w:val="694"/>
    <w:uiPriority w:val="11"/>
    <w:rPr>
      <w:sz w:val="24"/>
      <w:szCs w:val="24"/>
    </w:rPr>
  </w:style>
  <w:style w:type="character" w:styleId="670" w:customStyle="1">
    <w:name w:val="Quote Char"/>
    <w:link w:val="696"/>
    <w:uiPriority w:val="29"/>
    <w:rPr>
      <w:i/>
    </w:rPr>
  </w:style>
  <w:style w:type="character" w:styleId="671" w:customStyle="1">
    <w:name w:val="Intense Quote Char"/>
    <w:link w:val="698"/>
    <w:uiPriority w:val="30"/>
    <w:rPr>
      <w:i/>
    </w:rPr>
  </w:style>
  <w:style w:type="character" w:styleId="672" w:customStyle="1">
    <w:name w:val="Footnote Text Char"/>
    <w:link w:val="830"/>
    <w:uiPriority w:val="99"/>
    <w:rPr>
      <w:sz w:val="18"/>
    </w:rPr>
  </w:style>
  <w:style w:type="character" w:styleId="673" w:customStyle="1">
    <w:name w:val="Endnote Text Char"/>
    <w:link w:val="833"/>
    <w:uiPriority w:val="99"/>
    <w:rPr>
      <w:sz w:val="20"/>
    </w:rPr>
  </w:style>
  <w:style w:type="paragraph" w:styleId="674" w:customStyle="1">
    <w:name w:val="Heading 1"/>
    <w:basedOn w:val="664"/>
    <w:next w:val="664"/>
    <w:link w:val="67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character" w:styleId="675" w:customStyle="1">
    <w:name w:val="Heading 1 Char"/>
    <w:basedOn w:val="665"/>
    <w:link w:val="674"/>
    <w:uiPriority w:val="9"/>
    <w:rPr>
      <w:rFonts w:ascii="Arial" w:hAnsi="Arial" w:cs="Arial" w:eastAsia="Arial"/>
      <w:sz w:val="40"/>
      <w:szCs w:val="40"/>
    </w:rPr>
  </w:style>
  <w:style w:type="character" w:styleId="676" w:customStyle="1">
    <w:name w:val="Heading 2 Char"/>
    <w:basedOn w:val="665"/>
    <w:link w:val="847"/>
    <w:uiPriority w:val="9"/>
    <w:rPr>
      <w:rFonts w:ascii="Arial" w:hAnsi="Arial" w:cs="Arial" w:eastAsia="Arial"/>
      <w:sz w:val="34"/>
    </w:rPr>
  </w:style>
  <w:style w:type="character" w:styleId="677" w:customStyle="1">
    <w:name w:val="Heading 3 Char"/>
    <w:basedOn w:val="665"/>
    <w:link w:val="848"/>
    <w:uiPriority w:val="9"/>
    <w:rPr>
      <w:rFonts w:ascii="Arial" w:hAnsi="Arial" w:cs="Arial" w:eastAsia="Arial"/>
      <w:sz w:val="30"/>
      <w:szCs w:val="30"/>
    </w:rPr>
  </w:style>
  <w:style w:type="paragraph" w:styleId="678" w:customStyle="1">
    <w:name w:val="Heading 4"/>
    <w:basedOn w:val="664"/>
    <w:next w:val="664"/>
    <w:link w:val="6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character" w:styleId="679" w:customStyle="1">
    <w:name w:val="Heading 4 Char"/>
    <w:basedOn w:val="665"/>
    <w:link w:val="678"/>
    <w:uiPriority w:val="9"/>
    <w:rPr>
      <w:rFonts w:ascii="Arial" w:hAnsi="Arial" w:cs="Arial" w:eastAsia="Arial"/>
      <w:b/>
      <w:bCs/>
      <w:sz w:val="26"/>
      <w:szCs w:val="26"/>
    </w:rPr>
  </w:style>
  <w:style w:type="paragraph" w:styleId="680" w:customStyle="1">
    <w:name w:val="Heading 5"/>
    <w:basedOn w:val="664"/>
    <w:next w:val="664"/>
    <w:link w:val="68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character" w:styleId="681" w:customStyle="1">
    <w:name w:val="Heading 5 Char"/>
    <w:basedOn w:val="665"/>
    <w:link w:val="680"/>
    <w:uiPriority w:val="9"/>
    <w:rPr>
      <w:rFonts w:ascii="Arial" w:hAnsi="Arial" w:cs="Arial" w:eastAsia="Arial"/>
      <w:b/>
      <w:bCs/>
      <w:sz w:val="24"/>
      <w:szCs w:val="24"/>
    </w:rPr>
  </w:style>
  <w:style w:type="paragraph" w:styleId="682" w:customStyle="1">
    <w:name w:val="Heading 6"/>
    <w:basedOn w:val="664"/>
    <w:next w:val="664"/>
    <w:link w:val="68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character" w:styleId="683" w:customStyle="1">
    <w:name w:val="Heading 6 Char"/>
    <w:basedOn w:val="665"/>
    <w:link w:val="682"/>
    <w:uiPriority w:val="9"/>
    <w:rPr>
      <w:rFonts w:ascii="Arial" w:hAnsi="Arial" w:cs="Arial" w:eastAsia="Arial"/>
      <w:b/>
      <w:bCs/>
      <w:sz w:val="22"/>
      <w:szCs w:val="22"/>
    </w:rPr>
  </w:style>
  <w:style w:type="paragraph" w:styleId="684" w:customStyle="1">
    <w:name w:val="Heading 7"/>
    <w:basedOn w:val="664"/>
    <w:next w:val="664"/>
    <w:link w:val="685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character" w:styleId="685" w:customStyle="1">
    <w:name w:val="Heading 7 Char"/>
    <w:basedOn w:val="665"/>
    <w:link w:val="6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6" w:customStyle="1">
    <w:name w:val="Heading 8"/>
    <w:basedOn w:val="664"/>
    <w:next w:val="664"/>
    <w:link w:val="687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character" w:styleId="687" w:customStyle="1">
    <w:name w:val="Heading 8 Char"/>
    <w:basedOn w:val="665"/>
    <w:link w:val="686"/>
    <w:uiPriority w:val="9"/>
    <w:rPr>
      <w:rFonts w:ascii="Arial" w:hAnsi="Arial" w:cs="Arial" w:eastAsia="Arial"/>
      <w:i/>
      <w:iCs/>
      <w:sz w:val="22"/>
      <w:szCs w:val="22"/>
    </w:rPr>
  </w:style>
  <w:style w:type="paragraph" w:styleId="688" w:customStyle="1">
    <w:name w:val="Heading 9"/>
    <w:basedOn w:val="664"/>
    <w:next w:val="664"/>
    <w:link w:val="68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89" w:customStyle="1">
    <w:name w:val="Heading 9 Char"/>
    <w:basedOn w:val="665"/>
    <w:link w:val="688"/>
    <w:uiPriority w:val="9"/>
    <w:rPr>
      <w:rFonts w:ascii="Arial" w:hAnsi="Arial" w:cs="Arial" w:eastAsia="Arial"/>
      <w:i/>
      <w:iCs/>
      <w:sz w:val="21"/>
      <w:szCs w:val="21"/>
    </w:rPr>
  </w:style>
  <w:style w:type="paragraph" w:styleId="690">
    <w:name w:val="List Paragraph"/>
    <w:basedOn w:val="664"/>
    <w:qFormat/>
    <w:uiPriority w:val="34"/>
    <w:pPr>
      <w:contextualSpacing w:val="true"/>
      <w:ind w:left="720"/>
    </w:pPr>
  </w:style>
  <w:style w:type="paragraph" w:styleId="691">
    <w:name w:val="No Spacing"/>
    <w:qFormat/>
    <w:uiPriority w:val="1"/>
    <w:pPr>
      <w:spacing w:lineRule="auto" w:line="240" w:after="0"/>
    </w:pPr>
  </w:style>
  <w:style w:type="paragraph" w:styleId="692">
    <w:name w:val="Title"/>
    <w:basedOn w:val="664"/>
    <w:next w:val="664"/>
    <w:link w:val="693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693" w:customStyle="1">
    <w:name w:val="Название Знак"/>
    <w:basedOn w:val="665"/>
    <w:link w:val="692"/>
    <w:uiPriority w:val="10"/>
    <w:rPr>
      <w:sz w:val="48"/>
      <w:szCs w:val="48"/>
    </w:rPr>
  </w:style>
  <w:style w:type="paragraph" w:styleId="694">
    <w:name w:val="Subtitle"/>
    <w:basedOn w:val="664"/>
    <w:next w:val="664"/>
    <w:link w:val="695"/>
    <w:qFormat/>
    <w:uiPriority w:val="11"/>
    <w:rPr>
      <w:sz w:val="24"/>
      <w:szCs w:val="24"/>
    </w:rPr>
    <w:pPr>
      <w:spacing w:before="200"/>
    </w:pPr>
  </w:style>
  <w:style w:type="character" w:styleId="695" w:customStyle="1">
    <w:name w:val="Подзаголовок Знак"/>
    <w:basedOn w:val="665"/>
    <w:link w:val="694"/>
    <w:uiPriority w:val="11"/>
    <w:rPr>
      <w:sz w:val="24"/>
      <w:szCs w:val="24"/>
    </w:rPr>
  </w:style>
  <w:style w:type="paragraph" w:styleId="696">
    <w:name w:val="Quote"/>
    <w:basedOn w:val="664"/>
    <w:next w:val="664"/>
    <w:link w:val="697"/>
    <w:qFormat/>
    <w:uiPriority w:val="29"/>
    <w:rPr>
      <w:i/>
    </w:rPr>
    <w:pPr>
      <w:ind w:left="720" w:right="720"/>
    </w:p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64"/>
    <w:next w:val="664"/>
    <w:link w:val="699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9" w:customStyle="1">
    <w:name w:val="Выделенная цитата Знак"/>
    <w:link w:val="698"/>
    <w:uiPriority w:val="30"/>
    <w:rPr>
      <w:i/>
    </w:rPr>
  </w:style>
  <w:style w:type="character" w:styleId="700" w:customStyle="1">
    <w:name w:val="Header Char"/>
    <w:basedOn w:val="665"/>
    <w:link w:val="867"/>
    <w:uiPriority w:val="99"/>
  </w:style>
  <w:style w:type="character" w:styleId="701" w:customStyle="1">
    <w:name w:val="Footer Char"/>
    <w:basedOn w:val="665"/>
    <w:link w:val="869"/>
    <w:uiPriority w:val="99"/>
  </w:style>
  <w:style w:type="paragraph" w:styleId="702" w:customStyle="1">
    <w:name w:val="Caption"/>
    <w:basedOn w:val="664"/>
    <w:next w:val="664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03" w:customStyle="1">
    <w:name w:val="Caption Char"/>
    <w:link w:val="869"/>
    <w:uiPriority w:val="99"/>
  </w:style>
  <w:style w:type="table" w:styleId="704">
    <w:name w:val="Table Grid"/>
    <w:basedOn w:val="66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Table Grid Light"/>
    <w:basedOn w:val="66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basedOn w:val="66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6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2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2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3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3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4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3" w:customStyle="1">
    <w:name w:val="Grid Table 4 - Accent 1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34" w:customStyle="1">
    <w:name w:val="Grid Table 4 - Accent 2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35" w:customStyle="1">
    <w:name w:val="Grid Table 4 - Accent 3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36" w:customStyle="1">
    <w:name w:val="Grid Table 4 - Accent 4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37" w:customStyle="1">
    <w:name w:val="Grid Table 4 - Accent 5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38" w:customStyle="1">
    <w:name w:val="Grid Table 4 - Accent 6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9" w:customStyle="1">
    <w:name w:val="Grid Table 5 Dark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5 Dark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45" w:customStyle="1">
    <w:name w:val="Grid Table 5 Dark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46" w:customStyle="1">
    <w:name w:val="Grid Table 6 Colorful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7 Colorful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7 Colorful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List Table 1 Light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1 Light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List Table 1 Light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List Table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68" w:customStyle="1">
    <w:name w:val="List Table 2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69" w:customStyle="1">
    <w:name w:val="List Table 2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70" w:customStyle="1">
    <w:name w:val="List Table 2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71" w:customStyle="1">
    <w:name w:val="List Table 2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72" w:customStyle="1">
    <w:name w:val="List Table 2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73" w:customStyle="1">
    <w:name w:val="List Table 2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74" w:customStyle="1">
    <w:name w:val="List Table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96" w:customStyle="1">
    <w:name w:val="List Table 6 Colorful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97" w:customStyle="1">
    <w:name w:val="List Table 6 Colorful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98" w:customStyle="1">
    <w:name w:val="List Table 6 Colorful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99" w:customStyle="1">
    <w:name w:val="List Table 6 Colorful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00" w:customStyle="1">
    <w:name w:val="List Table 6 Colorful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01" w:customStyle="1">
    <w:name w:val="List Table 6 Colorful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02" w:customStyle="1">
    <w:name w:val="List Table 7 Colorful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7 Colorful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7 Colorful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ned - Accent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10" w:customStyle="1">
    <w:name w:val="Lined - Accent 1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11" w:customStyle="1">
    <w:name w:val="Lined - Accent 2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12" w:customStyle="1">
    <w:name w:val="Lined - Accent 3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13" w:customStyle="1">
    <w:name w:val="Lined - Accent 4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14" w:customStyle="1">
    <w:name w:val="Lined - Accent 5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15" w:customStyle="1">
    <w:name w:val="Lined - Accent 6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16" w:customStyle="1">
    <w:name w:val="Bordered &amp; Lined - Accent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17" w:customStyle="1">
    <w:name w:val="Bordered &amp; Lined - Accent 1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18" w:customStyle="1">
    <w:name w:val="Bordered &amp; Lined - Accent 2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19" w:customStyle="1">
    <w:name w:val="Bordered &amp; Lined - Accent 3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20" w:customStyle="1">
    <w:name w:val="Bordered &amp; Lined - Accent 4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21" w:customStyle="1">
    <w:name w:val="Bordered &amp; Lined - Accent 5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22" w:customStyle="1">
    <w:name w:val="Bordered &amp; Lined - Accent 6"/>
    <w:basedOn w:val="66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23" w:customStyle="1">
    <w:name w:val="Bordered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24" w:customStyle="1">
    <w:name w:val="Bordered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25" w:customStyle="1">
    <w:name w:val="Bordered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26" w:customStyle="1">
    <w:name w:val="Bordered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27" w:customStyle="1">
    <w:name w:val="Bordered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28" w:customStyle="1">
    <w:name w:val="Bordered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29" w:customStyle="1">
    <w:name w:val="Bordered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30">
    <w:name w:val="footnote text"/>
    <w:basedOn w:val="664"/>
    <w:link w:val="831"/>
    <w:uiPriority w:val="99"/>
    <w:semiHidden/>
    <w:unhideWhenUsed/>
    <w:rPr>
      <w:sz w:val="18"/>
    </w:rPr>
    <w:pPr>
      <w:spacing w:lineRule="auto" w:line="240" w:after="40"/>
    </w:p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basedOn w:val="665"/>
    <w:uiPriority w:val="99"/>
    <w:unhideWhenUsed/>
    <w:rPr>
      <w:vertAlign w:val="superscript"/>
    </w:rPr>
  </w:style>
  <w:style w:type="paragraph" w:styleId="833">
    <w:name w:val="endnote text"/>
    <w:basedOn w:val="664"/>
    <w:link w:val="834"/>
    <w:uiPriority w:val="99"/>
    <w:semiHidden/>
    <w:unhideWhenUsed/>
    <w:rPr>
      <w:sz w:val="20"/>
    </w:rPr>
    <w:pPr>
      <w:spacing w:lineRule="auto" w:line="240" w:after="0"/>
    </w:p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65"/>
    <w:uiPriority w:val="99"/>
    <w:semiHidden/>
    <w:unhideWhenUsed/>
    <w:rPr>
      <w:vertAlign w:val="superscript"/>
    </w:rPr>
  </w:style>
  <w:style w:type="paragraph" w:styleId="836">
    <w:name w:val="toc 1"/>
    <w:basedOn w:val="664"/>
    <w:next w:val="664"/>
    <w:uiPriority w:val="39"/>
    <w:unhideWhenUsed/>
    <w:pPr>
      <w:spacing w:after="57"/>
    </w:pPr>
  </w:style>
  <w:style w:type="paragraph" w:styleId="837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38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39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40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41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42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43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44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664"/>
    <w:next w:val="664"/>
    <w:uiPriority w:val="99"/>
    <w:unhideWhenUsed/>
    <w:pPr>
      <w:spacing w:after="0"/>
    </w:pPr>
  </w:style>
  <w:style w:type="paragraph" w:styleId="847" w:customStyle="1">
    <w:name w:val="Heading 2"/>
    <w:basedOn w:val="664"/>
    <w:next w:val="664"/>
    <w:link w:val="863"/>
    <w:qFormat/>
    <w:uiPriority w:val="9"/>
    <w:unhideWhenUsed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  <w:pPr>
      <w:keepLines/>
      <w:keepNext/>
      <w:spacing w:after="0" w:before="200"/>
      <w:outlineLvl w:val="1"/>
    </w:pPr>
  </w:style>
  <w:style w:type="paragraph" w:styleId="848" w:customStyle="1">
    <w:name w:val="Heading 3"/>
    <w:basedOn w:val="664"/>
    <w:link w:val="849"/>
    <w:qFormat/>
    <w:uiPriority w:val="9"/>
    <w:rPr>
      <w:rFonts w:ascii="Times New Roman" w:hAnsi="Times New Roman" w:cs="Times New Roman" w:eastAsia="Times New Roman"/>
      <w:b/>
      <w:bCs/>
      <w:sz w:val="27"/>
      <w:szCs w:val="27"/>
    </w:rPr>
    <w:pPr>
      <w:spacing w:lineRule="auto" w:line="240" w:after="100" w:afterAutospacing="1" w:before="100" w:beforeAutospacing="1"/>
      <w:outlineLvl w:val="2"/>
    </w:pPr>
  </w:style>
  <w:style w:type="character" w:styleId="849" w:customStyle="1">
    <w:name w:val="Заголовок 3 Знак"/>
    <w:basedOn w:val="665"/>
    <w:link w:val="848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character" w:styleId="850">
    <w:name w:val="Hyperlink"/>
    <w:basedOn w:val="665"/>
    <w:uiPriority w:val="99"/>
    <w:semiHidden/>
    <w:unhideWhenUsed/>
    <w:rPr>
      <w:color w:val="0000FF"/>
      <w:u w:val="single"/>
    </w:rPr>
  </w:style>
  <w:style w:type="paragraph" w:styleId="851">
    <w:name w:val="HTML Top of Form"/>
    <w:basedOn w:val="664"/>
    <w:next w:val="664"/>
    <w:link w:val="852"/>
    <w:uiPriority w:val="99"/>
    <w:hidden/>
    <w:semiHidden/>
    <w:unhideWhenUsed/>
    <w:rPr>
      <w:rFonts w:ascii="Arial" w:hAnsi="Arial" w:cs="Arial" w:eastAsia="Times New Roman"/>
      <w:vanish/>
      <w:sz w:val="16"/>
      <w:szCs w:val="16"/>
    </w:rPr>
    <w:pPr>
      <w:jc w:val="center"/>
      <w:spacing w:lineRule="auto" w:line="240" w:after="0"/>
      <w:pBdr>
        <w:bottom w:val="single" w:sz="6" w:space="1" w:color="auto"/>
      </w:pBdr>
    </w:pPr>
  </w:style>
  <w:style w:type="character" w:styleId="852" w:customStyle="1">
    <w:name w:val="z-Начало формы Знак"/>
    <w:basedOn w:val="665"/>
    <w:link w:val="851"/>
    <w:uiPriority w:val="99"/>
    <w:semiHidden/>
    <w:rPr>
      <w:rFonts w:ascii="Arial" w:hAnsi="Arial" w:cs="Arial" w:eastAsia="Times New Roman"/>
      <w:vanish/>
      <w:sz w:val="16"/>
      <w:szCs w:val="16"/>
      <w:lang w:eastAsia="ru-RU"/>
    </w:rPr>
  </w:style>
  <w:style w:type="paragraph" w:styleId="853">
    <w:name w:val="HTML Bottom of Form"/>
    <w:basedOn w:val="664"/>
    <w:next w:val="664"/>
    <w:link w:val="854"/>
    <w:uiPriority w:val="99"/>
    <w:hidden/>
    <w:semiHidden/>
    <w:unhideWhenUsed/>
    <w:rPr>
      <w:rFonts w:ascii="Arial" w:hAnsi="Arial" w:cs="Arial" w:eastAsia="Times New Roman"/>
      <w:vanish/>
      <w:sz w:val="16"/>
      <w:szCs w:val="16"/>
    </w:rPr>
    <w:pPr>
      <w:jc w:val="center"/>
      <w:spacing w:lineRule="auto" w:line="240" w:after="0"/>
      <w:pBdr>
        <w:top w:val="single" w:sz="6" w:space="1" w:color="auto"/>
      </w:pBdr>
    </w:pPr>
  </w:style>
  <w:style w:type="character" w:styleId="854" w:customStyle="1">
    <w:name w:val="z-Конец формы Знак"/>
    <w:basedOn w:val="665"/>
    <w:link w:val="853"/>
    <w:uiPriority w:val="99"/>
    <w:semiHidden/>
    <w:rPr>
      <w:rFonts w:ascii="Arial" w:hAnsi="Arial" w:cs="Arial" w:eastAsia="Times New Roman"/>
      <w:vanish/>
      <w:sz w:val="16"/>
      <w:szCs w:val="16"/>
      <w:lang w:eastAsia="ru-RU"/>
    </w:rPr>
  </w:style>
  <w:style w:type="paragraph" w:styleId="855" w:customStyle="1">
    <w:name w:val="formattext"/>
    <w:basedOn w:val="664"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856" w:customStyle="1">
    <w:name w:val="headertext"/>
    <w:basedOn w:val="664"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857" w:customStyle="1">
    <w:name w:val="unformattext"/>
    <w:basedOn w:val="664"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character" w:styleId="858" w:customStyle="1">
    <w:name w:val="lt-chat-header__txt"/>
    <w:basedOn w:val="665"/>
  </w:style>
  <w:style w:type="paragraph" w:styleId="859" w:customStyle="1">
    <w:name w:val="lt-phone-flipper-inner__txt"/>
    <w:basedOn w:val="664"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character" w:styleId="860" w:customStyle="1">
    <w:name w:val="lt-label-block__txt"/>
    <w:basedOn w:val="665"/>
  </w:style>
  <w:style w:type="paragraph" w:styleId="861">
    <w:name w:val="Balloon Text"/>
    <w:basedOn w:val="664"/>
    <w:link w:val="86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62" w:customStyle="1">
    <w:name w:val="Текст выноски Знак"/>
    <w:basedOn w:val="665"/>
    <w:link w:val="861"/>
    <w:uiPriority w:val="99"/>
    <w:semiHidden/>
    <w:rPr>
      <w:rFonts w:ascii="Tahoma" w:hAnsi="Tahoma" w:cs="Tahoma"/>
      <w:sz w:val="16"/>
      <w:szCs w:val="16"/>
    </w:rPr>
  </w:style>
  <w:style w:type="character" w:styleId="863" w:customStyle="1">
    <w:name w:val="Заголовок 2 Знак"/>
    <w:basedOn w:val="665"/>
    <w:link w:val="84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64" w:customStyle="1">
    <w:name w:val="ConsPlusNormal"/>
    <w:rPr>
      <w:rFonts w:ascii="Calibri" w:hAnsi="Calibri" w:cs="Calibri" w:eastAsia="Times New Roman"/>
      <w:sz w:val="20"/>
      <w:szCs w:val="20"/>
    </w:rPr>
    <w:pPr>
      <w:spacing w:lineRule="auto" w:line="240" w:after="0"/>
      <w:widowControl w:val="off"/>
    </w:pPr>
  </w:style>
  <w:style w:type="character" w:styleId="865">
    <w:name w:val="Emphasis"/>
    <w:basedOn w:val="665"/>
    <w:qFormat/>
    <w:uiPriority w:val="20"/>
    <w:rPr>
      <w:i/>
      <w:iCs/>
    </w:rPr>
  </w:style>
  <w:style w:type="character" w:styleId="866">
    <w:name w:val="Placeholder Text"/>
    <w:basedOn w:val="665"/>
    <w:uiPriority w:val="99"/>
    <w:semiHidden/>
    <w:rPr>
      <w:color w:val="808080"/>
    </w:rPr>
  </w:style>
  <w:style w:type="paragraph" w:styleId="867" w:customStyle="1">
    <w:name w:val="Header"/>
    <w:basedOn w:val="664"/>
    <w:link w:val="8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665"/>
    <w:link w:val="867"/>
    <w:uiPriority w:val="99"/>
  </w:style>
  <w:style w:type="paragraph" w:styleId="869" w:customStyle="1">
    <w:name w:val="Footer"/>
    <w:basedOn w:val="664"/>
    <w:link w:val="87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665"/>
    <w:link w:val="869"/>
    <w:uiPriority w:val="99"/>
  </w:style>
  <w:style w:type="character" w:styleId="871">
    <w:name w:val="FollowedHyperlink"/>
    <w:basedOn w:val="665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s://login.consultant.ru/link/?req=doc&amp;base=LAW&amp;n=463136&amp;dst=1001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863F3AD-664D-4475-AF90-C8C90A0FD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A60D333-3D3C-4551-9727-6DDB0047609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</dc:creator>
  <cp:revision>36</cp:revision>
  <dcterms:created xsi:type="dcterms:W3CDTF">2024-03-06T08:57:00Z</dcterms:created>
  <dcterms:modified xsi:type="dcterms:W3CDTF">2024-03-15T06:52:40Z</dcterms:modified>
</cp:coreProperties>
</file>