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  <w:proofErr w:type="gramEnd"/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</w:t>
            </w:r>
            <w:r w:rsidRPr="0077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2014 - 2024 годах составляет 2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60 868,551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212 774,028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6 022,607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33 1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150 262,205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933 602,449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157 355,728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56,907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 600,123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2024 год – 89 035,205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 227 266,102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50 765,700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67 583,400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61 227,000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0A37A7" w:rsidP="000A37A7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158 212,</w:t>
            </w:r>
            <w:r w:rsidR="00BB2E99" w:rsidRPr="00BB2E99">
              <w:rPr>
                <w:sz w:val="24"/>
                <w:szCs w:val="24"/>
              </w:rPr>
              <w:t>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 (включая индивидуальных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2024 году по отношению к 2014 году на 22 процента;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2024 году до 21,6 %;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2024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 итогам второго этапа, что является результатом соответствующего федерального проекта по Курской области;</w:t>
            </w:r>
            <w:proofErr w:type="gramEnd"/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1,061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15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индикаторов целевой модели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административных правонарушений в части исполнения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</w:t>
      </w:r>
      <w:r w:rsidRPr="007F3598">
        <w:rPr>
          <w:rFonts w:ascii="Times New Roman" w:hAnsi="Times New Roman"/>
          <w:sz w:val="28"/>
          <w:szCs w:val="28"/>
        </w:rPr>
        <w:lastRenderedPageBreak/>
        <w:t>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 на рынках стран ЕС, на осуществление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средние, средних в крупные.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 xml:space="preserve"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>дств федерального бюджета 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 xml:space="preserve">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</w:t>
      </w:r>
      <w:r w:rsidRPr="00EE1C79">
        <w:rPr>
          <w:rFonts w:ascii="Times New Roman" w:hAnsi="Times New Roman"/>
          <w:sz w:val="28"/>
          <w:szCs w:val="28"/>
        </w:rPr>
        <w:lastRenderedPageBreak/>
        <w:t>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5) увеличение оборота в расчете на одного работника субъекта малого и среднего предпринимательства в постоянных ценах по отношению к 2014 году на 22 процента,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22 процента.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13,7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lastRenderedPageBreak/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до 21,6 %,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21,6 %.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</w:t>
      </w:r>
      <w:r w:rsidRPr="00EE1C79">
        <w:rPr>
          <w:rFonts w:ascii="Times New Roman" w:hAnsi="Times New Roman"/>
          <w:sz w:val="28"/>
          <w:szCs w:val="28"/>
        </w:rPr>
        <w:lastRenderedPageBreak/>
        <w:t>предпринимательства за счет средств федерального бюджета к 2024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16) объем финансовой поддержки, оказанной субъектам малого и среднего предпринимательства, при гарантийной поддержке </w:t>
      </w:r>
      <w:r w:rsidRPr="00EE1C79">
        <w:rPr>
          <w:rFonts w:ascii="Times New Roman" w:hAnsi="Times New Roman"/>
          <w:sz w:val="28"/>
          <w:szCs w:val="28"/>
        </w:rPr>
        <w:lastRenderedPageBreak/>
        <w:t>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20) доля субъектов малого и среднего предпринимательства, охваченных услугами центров «Мой бизнес» (в рамках реализации </w:t>
      </w:r>
      <w:r w:rsidRPr="00EE1C79">
        <w:rPr>
          <w:rFonts w:ascii="Times New Roman" w:hAnsi="Times New Roman"/>
          <w:sz w:val="28"/>
          <w:szCs w:val="28"/>
        </w:rPr>
        <w:lastRenderedPageBreak/>
        <w:t>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27) 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1,061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15 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повышение капитализации бизнеса, улучшение кадрового потенциала, изменение отраслевой структуры малого и среднего бизнеса,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снижение количества административных правонарушений в части исполнения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связи с тем, что в подпрограмму с 2019 года включены три 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 на возмещение части затрат, связанных с участием </w:t>
      </w:r>
      <w:r w:rsidRPr="009014D5">
        <w:rPr>
          <w:rFonts w:ascii="Times New Roman" w:hAnsi="Times New Roman"/>
          <w:sz w:val="28"/>
          <w:szCs w:val="28"/>
        </w:rPr>
        <w:br/>
        <w:t>в  выставочно-ярмарочных мероприятиях;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предпринимательства, занятым в обрабатывающем производстве, </w:t>
      </w:r>
      <w:r w:rsidRPr="009014D5">
        <w:rPr>
          <w:rFonts w:ascii="Times New Roman" w:hAnsi="Times New Roman"/>
          <w:sz w:val="28"/>
          <w:szCs w:val="28"/>
        </w:rPr>
        <w:br/>
        <w:t xml:space="preserve">на возмещение части затрат, направленных на уплату налога, взимаемого </w:t>
      </w:r>
      <w:r w:rsidRPr="009014D5">
        <w:rPr>
          <w:rFonts w:ascii="Times New Roman" w:hAnsi="Times New Roman"/>
          <w:sz w:val="28"/>
          <w:szCs w:val="28"/>
        </w:rPr>
        <w:br/>
        <w:t>в связи с применением упрощенной системы налогообложения (доходы, уменьшенные на величину расходов).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>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</w:t>
      </w:r>
      <w:r w:rsidRPr="009014D5">
        <w:rPr>
          <w:rFonts w:ascii="Times New Roman" w:hAnsi="Times New Roman"/>
          <w:sz w:val="28"/>
          <w:szCs w:val="28"/>
        </w:rPr>
        <w:lastRenderedPageBreak/>
        <w:t>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включенным в реестр социальных предпринимателей;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оказание комплексных услуг и (или) предоставление финансовой поддержки в виде грантов 43 субъектам малого и среднего предпринимательства, включенным в реестр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предпринимателей, а также предоставление комплекса услуг, направленных на вовлечение в предпринимательскую деятельность, </w:t>
      </w:r>
      <w:r w:rsidRPr="008B0E2C">
        <w:rPr>
          <w:rFonts w:ascii="Times New Roman" w:hAnsi="Times New Roman" w:cs="Times New Roman"/>
          <w:sz w:val="28"/>
          <w:szCs w:val="28"/>
        </w:rPr>
        <w:br/>
        <w:t xml:space="preserve">а также информационно-консультационных и образовательных услуг </w:t>
      </w:r>
      <w:r w:rsidRPr="008B0E2C">
        <w:rPr>
          <w:rFonts w:ascii="Times New Roman" w:hAnsi="Times New Roman" w:cs="Times New Roman"/>
          <w:sz w:val="28"/>
          <w:szCs w:val="28"/>
        </w:rPr>
        <w:br/>
        <w:t>для 2,197 тыс. единиц граждан, желающих вести бизнес, начинающих и действующих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промышленных парков, технопарков будет обеспечено оказание комплексных услуг;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0C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A8190C" w:rsidRPr="00A8190C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A8190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A8190C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A8190C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проектов субъектов малого и среднего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1,061 тыс. единиц субъектов малого и среднего предпринимательства, а также резидентов промышленных парков, технопарков, заключение экспортных контрактов 15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DB2BA3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средствах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4F6D9B" w:rsidRPr="00CD6813">
        <w:rPr>
          <w:rFonts w:ascii="Times New Roman" w:hAnsi="Times New Roman" w:cs="Times New Roman"/>
          <w:sz w:val="28"/>
          <w:szCs w:val="28"/>
        </w:rPr>
        <w:t>2</w:t>
      </w:r>
      <w:r w:rsidR="00FC3318">
        <w:rPr>
          <w:rFonts w:ascii="Times New Roman" w:hAnsi="Times New Roman" w:cs="Times New Roman"/>
          <w:sz w:val="28"/>
          <w:szCs w:val="28"/>
        </w:rPr>
        <w:t> </w:t>
      </w:r>
      <w:r w:rsidR="00A8190C">
        <w:rPr>
          <w:rFonts w:ascii="Times New Roman" w:hAnsi="Times New Roman" w:cs="Times New Roman"/>
          <w:sz w:val="28"/>
          <w:szCs w:val="28"/>
        </w:rPr>
        <w:t>1</w:t>
      </w:r>
      <w:r w:rsidR="000A37A7">
        <w:rPr>
          <w:rFonts w:ascii="Times New Roman" w:hAnsi="Times New Roman" w:cs="Times New Roman"/>
          <w:sz w:val="28"/>
          <w:szCs w:val="28"/>
        </w:rPr>
        <w:t>9</w:t>
      </w:r>
      <w:r w:rsidR="00FC3318">
        <w:rPr>
          <w:rFonts w:ascii="Times New Roman" w:hAnsi="Times New Roman" w:cs="Times New Roman"/>
          <w:sz w:val="28"/>
          <w:szCs w:val="28"/>
        </w:rPr>
        <w:t>2 </w:t>
      </w:r>
      <w:r w:rsidR="000A37A7">
        <w:rPr>
          <w:rFonts w:ascii="Times New Roman" w:hAnsi="Times New Roman" w:cs="Times New Roman"/>
          <w:sz w:val="28"/>
          <w:szCs w:val="28"/>
        </w:rPr>
        <w:t>929</w:t>
      </w:r>
      <w:r w:rsidR="00FC3318">
        <w:rPr>
          <w:rFonts w:ascii="Times New Roman" w:hAnsi="Times New Roman" w:cs="Times New Roman"/>
          <w:sz w:val="28"/>
          <w:szCs w:val="28"/>
        </w:rPr>
        <w:t>,</w:t>
      </w:r>
      <w:r w:rsidR="000A37A7">
        <w:rPr>
          <w:rFonts w:ascii="Times New Roman" w:hAnsi="Times New Roman" w:cs="Times New Roman"/>
          <w:sz w:val="28"/>
          <w:szCs w:val="28"/>
        </w:rPr>
        <w:t>551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реализацию подпрограммы на весь период составляет </w:t>
      </w:r>
      <w:r w:rsidR="000A37A7">
        <w:rPr>
          <w:rFonts w:ascii="Times New Roman" w:hAnsi="Times New Roman" w:cs="Times New Roman"/>
          <w:sz w:val="28"/>
          <w:szCs w:val="28"/>
        </w:rPr>
        <w:t>933 602,449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</w:t>
      </w: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6C09A7">
        <w:rPr>
          <w:rFonts w:ascii="Times New Roman" w:hAnsi="Times New Roman" w:cs="Times New Roman"/>
          <w:sz w:val="28"/>
          <w:szCs w:val="28"/>
        </w:rPr>
        <w:t> 227 266,102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недостаточно развита инфраструктура поддержки малого и среднего предпринимательства на муниципальном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22" w:rsidRDefault="00464022" w:rsidP="00DD4A00">
      <w:pPr>
        <w:spacing w:after="0" w:line="240" w:lineRule="auto"/>
      </w:pPr>
      <w:r>
        <w:separator/>
      </w:r>
    </w:p>
  </w:endnote>
  <w:end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22" w:rsidRDefault="00464022" w:rsidP="00DD4A00">
      <w:pPr>
        <w:spacing w:after="0" w:line="240" w:lineRule="auto"/>
      </w:pPr>
      <w:r>
        <w:separator/>
      </w:r>
    </w:p>
  </w:footnote>
  <w:foot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464022" w:rsidRDefault="00DB2BA3">
        <w:pPr>
          <w:pStyle w:val="a3"/>
          <w:jc w:val="center"/>
        </w:pPr>
        <w:fldSimple w:instr=" PAGE   \* MERGEFORMAT ">
          <w:r w:rsidR="000A37A7">
            <w:rPr>
              <w:noProof/>
            </w:rPr>
            <w:t>113</w:t>
          </w:r>
        </w:fldSimple>
      </w:p>
    </w:sdtContent>
  </w:sdt>
  <w:p w:rsidR="00464022" w:rsidRDefault="004640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464022" w:rsidRDefault="00DB2BA3">
        <w:pPr>
          <w:pStyle w:val="a3"/>
          <w:jc w:val="center"/>
        </w:pPr>
        <w:fldSimple w:instr=" PAGE   \* MERGEFORMAT ">
          <w:r w:rsidR="000A37A7">
            <w:rPr>
              <w:noProof/>
            </w:rPr>
            <w:t>78</w:t>
          </w:r>
        </w:fldSimple>
      </w:p>
    </w:sdtContent>
  </w:sdt>
  <w:p w:rsidR="00464022" w:rsidRDefault="004640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A37A7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10A93"/>
    <w:rsid w:val="00114E6B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53DD"/>
    <w:rsid w:val="00571936"/>
    <w:rsid w:val="00576647"/>
    <w:rsid w:val="0058102A"/>
    <w:rsid w:val="005864EE"/>
    <w:rsid w:val="00590C20"/>
    <w:rsid w:val="005A0BA4"/>
    <w:rsid w:val="005A58A8"/>
    <w:rsid w:val="005A73C0"/>
    <w:rsid w:val="005B25E6"/>
    <w:rsid w:val="005D7D92"/>
    <w:rsid w:val="005D7E3D"/>
    <w:rsid w:val="005F30F5"/>
    <w:rsid w:val="005F4EFE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710B1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205EA"/>
    <w:rsid w:val="00C24E2C"/>
    <w:rsid w:val="00C3198F"/>
    <w:rsid w:val="00C36D9A"/>
    <w:rsid w:val="00C72BEA"/>
    <w:rsid w:val="00C72D48"/>
    <w:rsid w:val="00C81EAC"/>
    <w:rsid w:val="00C9133F"/>
    <w:rsid w:val="00CA4DD9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A0ED2"/>
    <w:rsid w:val="00DA467E"/>
    <w:rsid w:val="00DA75DC"/>
    <w:rsid w:val="00DA7F80"/>
    <w:rsid w:val="00DB2BA3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63EC"/>
    <w:rsid w:val="00ED0902"/>
    <w:rsid w:val="00ED5567"/>
    <w:rsid w:val="00EE1C79"/>
    <w:rsid w:val="00EE2217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A781-8D7B-47B1-9D16-17E522E5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38</Pages>
  <Words>12700</Words>
  <Characters>72392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39</cp:revision>
  <cp:lastPrinted>2016-04-06T12:07:00Z</cp:lastPrinted>
  <dcterms:created xsi:type="dcterms:W3CDTF">2017-09-05T05:31:00Z</dcterms:created>
  <dcterms:modified xsi:type="dcterms:W3CDTF">2022-01-11T15:14:00Z</dcterms:modified>
</cp:coreProperties>
</file>