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  <w:proofErr w:type="gramEnd"/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</w:t>
            </w:r>
            <w:r w:rsidRPr="0077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2014 - 2024 годах составляет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 222 583,520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212 774,028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53 466,224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60 855,340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46 861,740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1 014 328,718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157 355,728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100 024,024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08 254,802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3 442,200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0 558,100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46 564,500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0A37A7" w:rsidP="000A37A7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158 212,</w:t>
            </w:r>
            <w:r w:rsidR="00BB2E99" w:rsidRPr="00BB2E99">
              <w:rPr>
                <w:sz w:val="24"/>
                <w:szCs w:val="24"/>
              </w:rPr>
              <w:t>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 xml:space="preserve"> в 2014-2021 годах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 (включая индивидуальных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2014 году на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 итогам второго этапа, что является результатом соответствующего федерального проекта по Курской области;</w:t>
            </w:r>
            <w:proofErr w:type="gramEnd"/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0,611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индикаторов целевой модели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административных правонарушений в части исполнения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</w:t>
      </w:r>
      <w:r w:rsidRPr="007F3598">
        <w:rPr>
          <w:rFonts w:ascii="Times New Roman" w:hAnsi="Times New Roman"/>
          <w:sz w:val="28"/>
          <w:szCs w:val="28"/>
        </w:rPr>
        <w:lastRenderedPageBreak/>
        <w:t>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 на рынках стран ЕС, на осуществление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средние, средних в крупные.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 xml:space="preserve"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дств 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0C333F" w:rsidRPr="000C333F">
        <w:rPr>
          <w:rFonts w:ascii="Times New Roman" w:hAnsi="Times New Roman" w:cs="Times New Roman"/>
          <w:sz w:val="28"/>
          <w:szCs w:val="28"/>
        </w:rPr>
        <w:t>в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 202</w:t>
      </w:r>
      <w:r w:rsidR="000C333F" w:rsidRPr="000C333F">
        <w:rPr>
          <w:rFonts w:ascii="Times New Roman" w:hAnsi="Times New Roman" w:cs="Times New Roman"/>
          <w:sz w:val="28"/>
          <w:szCs w:val="28"/>
        </w:rPr>
        <w:t>1</w:t>
      </w:r>
      <w:r w:rsidRPr="000C33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 xml:space="preserve"> 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 xml:space="preserve">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</w:t>
      </w:r>
      <w:r w:rsidRPr="00EE1C79">
        <w:rPr>
          <w:rFonts w:ascii="Times New Roman" w:hAnsi="Times New Roman"/>
          <w:sz w:val="28"/>
          <w:szCs w:val="28"/>
        </w:rPr>
        <w:lastRenderedPageBreak/>
        <w:t>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</w:r>
      <w:r w:rsidR="000C333F">
        <w:rPr>
          <w:rFonts w:ascii="Times New Roman" w:hAnsi="Times New Roman"/>
          <w:sz w:val="28"/>
          <w:szCs w:val="28"/>
        </w:rPr>
        <w:t xml:space="preserve"> в 2014-2021 годах</w:t>
      </w:r>
      <w:r w:rsidRPr="00EE1C79">
        <w:rPr>
          <w:rFonts w:ascii="Times New Roman" w:hAnsi="Times New Roman"/>
          <w:sz w:val="28"/>
          <w:szCs w:val="28"/>
        </w:rPr>
        <w:t xml:space="preserve">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5) увеличение оборота в расчете на одного работника субъекта малого и среднего предпринимательства в постоянных ценах </w:t>
      </w:r>
      <w:r w:rsidR="000C333F">
        <w:rPr>
          <w:rFonts w:ascii="Times New Roman" w:hAnsi="Times New Roman"/>
          <w:sz w:val="28"/>
          <w:szCs w:val="28"/>
        </w:rPr>
        <w:t xml:space="preserve">в 2021 году </w:t>
      </w:r>
      <w:r w:rsidRPr="00EE1C79">
        <w:rPr>
          <w:rFonts w:ascii="Times New Roman" w:hAnsi="Times New Roman"/>
          <w:sz w:val="28"/>
          <w:szCs w:val="28"/>
        </w:rPr>
        <w:t>по отношению к 2014 году на 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> 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</w:r>
      <w:r w:rsidR="000C333F">
        <w:rPr>
          <w:rFonts w:ascii="Times New Roman" w:hAnsi="Times New Roman"/>
          <w:sz w:val="28"/>
          <w:szCs w:val="28"/>
        </w:rPr>
        <w:t>1</w:t>
      </w:r>
      <w:r w:rsidRPr="00EE1C79">
        <w:rPr>
          <w:rFonts w:ascii="Times New Roman" w:hAnsi="Times New Roman"/>
          <w:sz w:val="28"/>
          <w:szCs w:val="28"/>
        </w:rPr>
        <w:t xml:space="preserve"> году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lastRenderedPageBreak/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</w:t>
      </w:r>
      <w:r w:rsidR="000C333F">
        <w:rPr>
          <w:rFonts w:ascii="Times New Roman" w:hAnsi="Times New Roman"/>
          <w:sz w:val="28"/>
          <w:szCs w:val="28"/>
        </w:rPr>
        <w:t>уальных предпринимателей в 2021 году до 10,5</w:t>
      </w:r>
      <w:r w:rsidRPr="00EE1C79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 итогам II этапа – до </w:t>
      </w:r>
      <w:r w:rsidR="000C333F">
        <w:rPr>
          <w:rFonts w:ascii="Times New Roman" w:hAnsi="Times New Roman"/>
          <w:sz w:val="28"/>
          <w:szCs w:val="28"/>
        </w:rPr>
        <w:t>10,5</w:t>
      </w:r>
      <w:r w:rsidRPr="00EE1C79">
        <w:rPr>
          <w:rFonts w:ascii="Times New Roman" w:hAnsi="Times New Roman"/>
          <w:sz w:val="28"/>
          <w:szCs w:val="28"/>
        </w:rPr>
        <w:t xml:space="preserve">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предпринимательства за счет средств федерального бюджета </w:t>
      </w:r>
      <w:r w:rsidR="000C333F">
        <w:rPr>
          <w:rFonts w:ascii="Times New Roman" w:hAnsi="Times New Roman"/>
          <w:sz w:val="28"/>
          <w:szCs w:val="28"/>
        </w:rPr>
        <w:t>в 2021</w:t>
      </w:r>
      <w:r w:rsidRPr="00EE1C79">
        <w:rPr>
          <w:rFonts w:ascii="Times New Roman" w:hAnsi="Times New Roman"/>
          <w:sz w:val="28"/>
          <w:szCs w:val="28"/>
        </w:rPr>
        <w:t xml:space="preserve">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16) объем финансовой поддержки, оказанной субъектам малого и среднего предпринимательства, при гарантийной поддержке </w:t>
      </w:r>
      <w:r w:rsidRPr="00EE1C79">
        <w:rPr>
          <w:rFonts w:ascii="Times New Roman" w:hAnsi="Times New Roman"/>
          <w:sz w:val="28"/>
          <w:szCs w:val="28"/>
        </w:rPr>
        <w:lastRenderedPageBreak/>
        <w:t>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20) доля субъектов малого и среднего предпринимательства, охваченных услугами центров «Мой бизнес» (в рамках реализации </w:t>
      </w:r>
      <w:r w:rsidRPr="00EE1C79">
        <w:rPr>
          <w:rFonts w:ascii="Times New Roman" w:hAnsi="Times New Roman"/>
          <w:sz w:val="28"/>
          <w:szCs w:val="28"/>
        </w:rPr>
        <w:lastRenderedPageBreak/>
        <w:t>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27) 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</w:t>
      </w:r>
      <w:r w:rsidR="000C333F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</w:t>
      </w:r>
      <w:r w:rsidR="000C333F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> 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повышение капитализации бизнеса, улучшение кадрового потенциала, изменение отраслевой структуры малого и среднего бизнеса,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снижение количества административных правонарушений в части исполнения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связи с тем, что в подпрограмму с 2019 года включены три 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F0918" w:rsidRPr="009014D5" w:rsidRDefault="001F0918" w:rsidP="001F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субсидий бюджетам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предпринимательства;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1F0918" w:rsidRDefault="001F091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918">
        <w:rPr>
          <w:rFonts w:ascii="Times New Roman" w:hAnsi="Times New Roman"/>
          <w:i/>
          <w:sz w:val="28"/>
          <w:szCs w:val="28"/>
        </w:rPr>
        <w:t>абзацы двенадцатый – пятнадцатый исключены (постановление Администрации курской области от 16.03.2022 № 242-па)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>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</w:t>
      </w:r>
      <w:r w:rsidR="001F091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</w:t>
      </w:r>
      <w:r w:rsidR="00EC2954">
        <w:rPr>
          <w:rFonts w:ascii="Times New Roman" w:hAnsi="Times New Roman" w:cs="Times New Roman"/>
          <w:sz w:val="28"/>
          <w:szCs w:val="28"/>
        </w:rPr>
        <w:t xml:space="preserve"> «Мой бизнес» Курской области»</w:t>
      </w:r>
      <w:r w:rsidRPr="008B0E2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включенным в реестр социальных предпринимателей;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EC295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«Мой бизнес» Курской области» </w:t>
      </w:r>
      <w:r w:rsidRPr="008B0E2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оказание комплексных услуг и (или) предоставление финансовой поддержки в виде грантов 43 субъектам малого и среднего предпринимательства, включенным в реестр социальных предпринимателей, а также предоставление комплекса услуг, направленных на вовлечение в предпринимательскую деятельность, </w:t>
      </w:r>
      <w:r w:rsidRPr="008B0E2C">
        <w:rPr>
          <w:rFonts w:ascii="Times New Roman" w:hAnsi="Times New Roman" w:cs="Times New Roman"/>
          <w:sz w:val="28"/>
          <w:szCs w:val="28"/>
        </w:rPr>
        <w:br/>
        <w:t xml:space="preserve">а также информационно-консультационных и образовательных услуг </w:t>
      </w:r>
      <w:r w:rsidRPr="008B0E2C">
        <w:rPr>
          <w:rFonts w:ascii="Times New Roman" w:hAnsi="Times New Roman" w:cs="Times New Roman"/>
          <w:sz w:val="28"/>
          <w:szCs w:val="28"/>
        </w:rPr>
        <w:br/>
        <w:t>для 2,197 тыс. единиц граждан, желающих вести бизнес, начинающих и действующих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lastRenderedPageBreak/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</w:t>
      </w:r>
      <w:r w:rsidRPr="001000E7">
        <w:rPr>
          <w:rFonts w:ascii="Times New Roman" w:hAnsi="Times New Roman" w:cs="Times New Roman"/>
          <w:sz w:val="28"/>
          <w:szCs w:val="28"/>
        </w:rPr>
        <w:t>промышленных парков, технопарков будет обеспечено оказание комплексных услуг;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A8190C" w:rsidRPr="001000E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1000E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1000E7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1000E7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1000E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000E7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</w:t>
      </w:r>
      <w:r w:rsidR="001000E7" w:rsidRPr="001000E7">
        <w:rPr>
          <w:rFonts w:ascii="Times New Roman" w:hAnsi="Times New Roman" w:cs="Times New Roman"/>
          <w:sz w:val="28"/>
          <w:szCs w:val="28"/>
        </w:rPr>
        <w:t xml:space="preserve">текущей деятельности и пополнение фонда </w:t>
      </w:r>
      <w:proofErr w:type="spellStart"/>
      <w:r w:rsidR="001000E7" w:rsidRPr="001000E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000E7" w:rsidRPr="001000E7">
        <w:rPr>
          <w:rFonts w:ascii="Times New Roman" w:hAnsi="Times New Roman" w:cs="Times New Roman"/>
          <w:sz w:val="28"/>
          <w:szCs w:val="28"/>
        </w:rPr>
        <w:t xml:space="preserve"> проектов субъектов малого </w:t>
      </w:r>
      <w:r w:rsidRPr="001000E7">
        <w:rPr>
          <w:rFonts w:ascii="Times New Roman" w:hAnsi="Times New Roman" w:cs="Times New Roman"/>
          <w:sz w:val="28"/>
          <w:szCs w:val="28"/>
        </w:rPr>
        <w:t>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компаниям частных промышленных (индустриальных) парков, агропромышленных парков, технопарков, промышленных технопарков,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</w:t>
      </w:r>
      <w:r w:rsidR="001000E7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субъектов малого и среднего предпринимательства, а также резидентов промышленных парков, технопарков, заключение экспортных контрактов 1</w:t>
      </w:r>
      <w:r w:rsidR="001000E7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7A2AF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Малый и средний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средствах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информации передового опыта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4F6D9B" w:rsidRPr="00CD6813">
        <w:rPr>
          <w:rFonts w:ascii="Times New Roman" w:hAnsi="Times New Roman" w:cs="Times New Roman"/>
          <w:sz w:val="28"/>
          <w:szCs w:val="28"/>
        </w:rPr>
        <w:t>2</w:t>
      </w:r>
      <w:r w:rsidR="005622AA">
        <w:rPr>
          <w:rFonts w:ascii="Times New Roman" w:hAnsi="Times New Roman" w:cs="Times New Roman"/>
          <w:sz w:val="28"/>
          <w:szCs w:val="28"/>
        </w:rPr>
        <w:t> 254 644,520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реализацию подпрограммы на весь период составляет </w:t>
      </w:r>
      <w:r w:rsidR="005622AA">
        <w:rPr>
          <w:rFonts w:ascii="Times New Roman" w:hAnsi="Times New Roman" w:cs="Times New Roman"/>
          <w:sz w:val="28"/>
          <w:szCs w:val="28"/>
        </w:rPr>
        <w:t>1 014 328,718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5622AA">
        <w:rPr>
          <w:rFonts w:ascii="Times New Roman" w:hAnsi="Times New Roman" w:cs="Times New Roman"/>
          <w:sz w:val="28"/>
          <w:szCs w:val="28"/>
        </w:rPr>
        <w:t> </w:t>
      </w:r>
      <w:r w:rsidR="006C09A7">
        <w:rPr>
          <w:rFonts w:ascii="Times New Roman" w:hAnsi="Times New Roman" w:cs="Times New Roman"/>
          <w:sz w:val="28"/>
          <w:szCs w:val="28"/>
        </w:rPr>
        <w:t>2</w:t>
      </w:r>
      <w:r w:rsidR="005622AA">
        <w:rPr>
          <w:rFonts w:ascii="Times New Roman" w:hAnsi="Times New Roman" w:cs="Times New Roman"/>
          <w:sz w:val="28"/>
          <w:szCs w:val="28"/>
        </w:rPr>
        <w:t>08 254,802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недостаточно развита инфраструктура поддержки малого и среднего предпринимательства на муниципальном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E7" w:rsidRDefault="001000E7" w:rsidP="00DD4A00">
      <w:pPr>
        <w:spacing w:after="0" w:line="240" w:lineRule="auto"/>
      </w:pPr>
      <w:r>
        <w:separator/>
      </w:r>
    </w:p>
  </w:endnote>
  <w:endnote w:type="continuationSeparator" w:id="0">
    <w:p w:rsidR="001000E7" w:rsidRDefault="001000E7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E7" w:rsidRDefault="001000E7" w:rsidP="00DD4A00">
      <w:pPr>
        <w:spacing w:after="0" w:line="240" w:lineRule="auto"/>
      </w:pPr>
      <w:r>
        <w:separator/>
      </w:r>
    </w:p>
  </w:footnote>
  <w:footnote w:type="continuationSeparator" w:id="0">
    <w:p w:rsidR="001000E7" w:rsidRDefault="001000E7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1000E7" w:rsidRDefault="001000E7">
        <w:pPr>
          <w:pStyle w:val="a3"/>
          <w:jc w:val="center"/>
        </w:pPr>
        <w:fldSimple w:instr=" PAGE   \* MERGEFORMAT ">
          <w:r w:rsidR="005622AA">
            <w:rPr>
              <w:noProof/>
            </w:rPr>
            <w:t>115</w:t>
          </w:r>
        </w:fldSimple>
      </w:p>
    </w:sdtContent>
  </w:sdt>
  <w:p w:rsidR="001000E7" w:rsidRDefault="00100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1000E7" w:rsidRDefault="001000E7">
        <w:pPr>
          <w:pStyle w:val="a3"/>
          <w:jc w:val="center"/>
        </w:pPr>
        <w:fldSimple w:instr=" PAGE   \* MERGEFORMAT ">
          <w:r>
            <w:rPr>
              <w:noProof/>
            </w:rPr>
            <w:t>78</w:t>
          </w:r>
        </w:fldSimple>
      </w:p>
    </w:sdtContent>
  </w:sdt>
  <w:p w:rsidR="001000E7" w:rsidRDefault="001000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A37A7"/>
    <w:rsid w:val="000C333F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000E7"/>
    <w:rsid w:val="00110A93"/>
    <w:rsid w:val="00114E6B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1F0918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85ADB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22AA"/>
    <w:rsid w:val="005653DD"/>
    <w:rsid w:val="00571936"/>
    <w:rsid w:val="00576647"/>
    <w:rsid w:val="0058102A"/>
    <w:rsid w:val="005864EE"/>
    <w:rsid w:val="00590C20"/>
    <w:rsid w:val="005A0BA4"/>
    <w:rsid w:val="005A58A8"/>
    <w:rsid w:val="005A73C0"/>
    <w:rsid w:val="005B25E6"/>
    <w:rsid w:val="005D7D92"/>
    <w:rsid w:val="005D7E3D"/>
    <w:rsid w:val="005F30F5"/>
    <w:rsid w:val="005F4EFE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710B1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2AF9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205EA"/>
    <w:rsid w:val="00C24E2C"/>
    <w:rsid w:val="00C3198F"/>
    <w:rsid w:val="00C36245"/>
    <w:rsid w:val="00C36D9A"/>
    <w:rsid w:val="00C72BEA"/>
    <w:rsid w:val="00C72D48"/>
    <w:rsid w:val="00C81EAC"/>
    <w:rsid w:val="00C9133F"/>
    <w:rsid w:val="00CA4DD9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A0ED2"/>
    <w:rsid w:val="00DA467E"/>
    <w:rsid w:val="00DA75DC"/>
    <w:rsid w:val="00DA7F80"/>
    <w:rsid w:val="00DB2BA3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2954"/>
    <w:rsid w:val="00EC63EC"/>
    <w:rsid w:val="00ED0902"/>
    <w:rsid w:val="00ED5567"/>
    <w:rsid w:val="00EE1C79"/>
    <w:rsid w:val="00EE2217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72AD-7705-4FD9-9302-E80CD096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38</Pages>
  <Words>12654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40</cp:revision>
  <cp:lastPrinted>2016-04-06T12:07:00Z</cp:lastPrinted>
  <dcterms:created xsi:type="dcterms:W3CDTF">2017-09-05T05:31:00Z</dcterms:created>
  <dcterms:modified xsi:type="dcterms:W3CDTF">2022-04-01T11:54:00Z</dcterms:modified>
</cp:coreProperties>
</file>