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A71FD">
        <w:rPr>
          <w:rFonts w:ascii="Times New Roman" w:hAnsi="Times New Roman" w:cs="Times New Roman"/>
          <w:sz w:val="24"/>
          <w:szCs w:val="24"/>
        </w:rPr>
        <w:t xml:space="preserve">от </w:t>
      </w:r>
      <w:r w:rsidR="0091689E">
        <w:rPr>
          <w:rFonts w:ascii="Times New Roman" w:hAnsi="Times New Roman" w:cs="Times New Roman"/>
          <w:sz w:val="24"/>
          <w:szCs w:val="24"/>
        </w:rPr>
        <w:t>2</w:t>
      </w:r>
      <w:r w:rsidR="00DF3CC5">
        <w:rPr>
          <w:rFonts w:ascii="Times New Roman" w:hAnsi="Times New Roman" w:cs="Times New Roman"/>
          <w:sz w:val="24"/>
          <w:szCs w:val="24"/>
        </w:rPr>
        <w:t>9</w:t>
      </w:r>
      <w:r w:rsidR="0091689E">
        <w:rPr>
          <w:rFonts w:ascii="Times New Roman" w:hAnsi="Times New Roman" w:cs="Times New Roman"/>
          <w:sz w:val="24"/>
          <w:szCs w:val="24"/>
        </w:rPr>
        <w:t>.1</w:t>
      </w:r>
      <w:r w:rsidR="00DF3CC5">
        <w:rPr>
          <w:rFonts w:ascii="Times New Roman" w:hAnsi="Times New Roman" w:cs="Times New Roman"/>
          <w:sz w:val="24"/>
          <w:szCs w:val="24"/>
        </w:rPr>
        <w:t>2</w:t>
      </w:r>
      <w:r w:rsidR="00B655AC">
        <w:rPr>
          <w:rFonts w:ascii="Times New Roman" w:hAnsi="Times New Roman" w:cs="Times New Roman"/>
          <w:sz w:val="24"/>
          <w:szCs w:val="24"/>
        </w:rPr>
        <w:t>.20</w:t>
      </w:r>
      <w:r w:rsidR="0056603E">
        <w:rPr>
          <w:rFonts w:ascii="Times New Roman" w:hAnsi="Times New Roman" w:cs="Times New Roman"/>
          <w:sz w:val="24"/>
          <w:szCs w:val="24"/>
        </w:rPr>
        <w:t>2</w:t>
      </w:r>
      <w:r w:rsidR="00DF3CC5">
        <w:rPr>
          <w:rFonts w:ascii="Times New Roman" w:hAnsi="Times New Roman" w:cs="Times New Roman"/>
          <w:sz w:val="24"/>
          <w:szCs w:val="24"/>
        </w:rPr>
        <w:t>1</w:t>
      </w:r>
      <w:r w:rsidRPr="002A71FD">
        <w:rPr>
          <w:rFonts w:ascii="Times New Roman" w:hAnsi="Times New Roman" w:cs="Times New Roman"/>
          <w:sz w:val="24"/>
          <w:szCs w:val="24"/>
        </w:rPr>
        <w:t xml:space="preserve"> № </w:t>
      </w:r>
      <w:r w:rsidR="0091689E">
        <w:rPr>
          <w:rFonts w:ascii="Times New Roman" w:hAnsi="Times New Roman" w:cs="Times New Roman"/>
          <w:sz w:val="24"/>
          <w:szCs w:val="24"/>
        </w:rPr>
        <w:t>1</w:t>
      </w:r>
      <w:r w:rsidR="00DF3CC5">
        <w:rPr>
          <w:rFonts w:ascii="Times New Roman" w:hAnsi="Times New Roman" w:cs="Times New Roman"/>
          <w:sz w:val="24"/>
          <w:szCs w:val="24"/>
        </w:rPr>
        <w:t>521</w:t>
      </w:r>
      <w:r w:rsidR="0091689E">
        <w:rPr>
          <w:rFonts w:ascii="Times New Roman" w:hAnsi="Times New Roman" w:cs="Times New Roman"/>
          <w:sz w:val="24"/>
          <w:szCs w:val="24"/>
        </w:rPr>
        <w:t>-па</w:t>
      </w:r>
      <w:r w:rsidRPr="002A71FD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1.01.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BD730D" w:rsidRPr="005B3DF3">
              <w:rPr>
                <w:rFonts w:ascii="Times New Roman" w:hAnsi="Times New Roman" w:cs="Times New Roman"/>
              </w:rPr>
              <w:t>4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Улучшение качества инвестиционного законодательства</w:t>
            </w:r>
            <w:r w:rsidR="00223C50" w:rsidRPr="005B3DF3">
              <w:rPr>
                <w:rFonts w:ascii="Times New Roman" w:hAnsi="Times New Roman" w:cs="Times New Roman"/>
              </w:rPr>
              <w:t>,</w:t>
            </w:r>
            <w:r w:rsidRPr="005B3DF3">
              <w:rPr>
                <w:rFonts w:ascii="Times New Roman" w:hAnsi="Times New Roman" w:cs="Times New Roman"/>
              </w:rPr>
              <w:t xml:space="preserve"> повышение его эффективности; снижение административных барьеров; повышение доступности государственной поддержки инвесторов; 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проектов на принципах государственно-частного партнёрства.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муниципальных служащих органов </w:t>
            </w:r>
            <w:r w:rsidRPr="005B3DF3">
              <w:rPr>
                <w:rFonts w:ascii="Times New Roman" w:hAnsi="Times New Roman" w:cs="Times New Roman"/>
              </w:rPr>
              <w:lastRenderedPageBreak/>
              <w:t>местного самоуправления.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096D18" w:rsidRPr="005B3DF3" w:rsidRDefault="00B054D0" w:rsidP="00B054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особой экономической зоны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промышленно-производственно-го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 на территории города Железногорска и прилегающей к ней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054D0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proofErr w:type="spellStart"/>
            <w:proofErr w:type="gramStart"/>
            <w:r w:rsidRPr="00B054D0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жение</w:t>
            </w:r>
            <w:proofErr w:type="spellEnd"/>
            <w:proofErr w:type="gramEnd"/>
            <w:r w:rsidRPr="00B054D0">
              <w:rPr>
                <w:rFonts w:ascii="Times New Roman" w:hAnsi="Times New Roman" w:cs="Times New Roman"/>
              </w:rPr>
              <w:t xml:space="preserve"> значений следующих показателей  госпрограммы и подпрограммы:</w:t>
            </w:r>
          </w:p>
          <w:p w:rsidR="00096D18" w:rsidRPr="00B054D0" w:rsidRDefault="00B054D0" w:rsidP="00DF3CC5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D0">
              <w:rPr>
                <w:rFonts w:ascii="Times New Roman" w:hAnsi="Times New Roman" w:cs="Times New Roman"/>
              </w:rPr>
              <w:t xml:space="preserve">«Темп роста (индекс роста) физического объема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ций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промышленно-производствен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типа»; «Объем инвестиций в основной капитал»; «Объем инвестиций в основной капитал на душу населения»; «Площадь </w:t>
            </w:r>
            <w:r w:rsidRPr="00B054D0">
              <w:rPr>
                <w:rFonts w:ascii="Times New Roman" w:hAnsi="Times New Roman" w:cs="Times New Roman"/>
              </w:rPr>
              <w:lastRenderedPageBreak/>
              <w:t>промышленных парков, занимаемая резидентами, в процентах от общей площади парков (нарастающим итогом)»;</w:t>
            </w:r>
            <w:proofErr w:type="gramEnd"/>
            <w:r w:rsidRPr="00B054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4D0">
              <w:rPr>
                <w:rFonts w:ascii="Times New Roman" w:hAnsi="Times New Roman" w:cs="Times New Roman"/>
              </w:rPr>
              <w:t>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</w:t>
            </w:r>
            <w:r w:rsidR="00DF3CC5">
              <w:rPr>
                <w:rFonts w:ascii="Times New Roman" w:hAnsi="Times New Roman" w:cs="Times New Roman"/>
              </w:rPr>
              <w:t xml:space="preserve">; «Наличие единой системы сопровождения и поддержки региональных </w:t>
            </w:r>
            <w:proofErr w:type="spellStart"/>
            <w:r w:rsidR="00DF3CC5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="00DF3CC5">
              <w:rPr>
                <w:rFonts w:ascii="Times New Roman" w:hAnsi="Times New Roman" w:cs="Times New Roman"/>
              </w:rPr>
              <w:t xml:space="preserve"> (нарастающим итогом)</w:t>
            </w:r>
            <w:proofErr w:type="gramEnd"/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1.02.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«Государственная поддержка инвестиционной и инновационной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BD730D" w:rsidRPr="005B3DF3">
              <w:rPr>
                <w:rFonts w:ascii="Times New Roman" w:hAnsi="Times New Roman" w:cs="Times New Roman"/>
              </w:rPr>
              <w:t>4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Увеличение числа реализуемых инвестиционных проектов. Сокращение сроков окупаемости проектов. </w:t>
            </w:r>
            <w:r w:rsidRPr="005B3DF3">
              <w:rPr>
                <w:rFonts w:ascii="Times New Roman" w:hAnsi="Times New Roman" w:cs="Times New Roman"/>
              </w:rPr>
              <w:lastRenderedPageBreak/>
              <w:t>Увеличение количества инвесторов.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конкурсных отборов наиболее эффек</w:t>
            </w:r>
            <w:r w:rsidRPr="005B3DF3">
              <w:rPr>
                <w:rFonts w:ascii="Times New Roman" w:hAnsi="Times New Roman" w:cs="Times New Roman"/>
              </w:rPr>
              <w:t xml:space="preserve">тивных инвестиционных проектов,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победителя</w:t>
            </w:r>
            <w:r w:rsidRPr="005B3DF3">
              <w:rPr>
                <w:rFonts w:ascii="Times New Roman" w:hAnsi="Times New Roman" w:cs="Times New Roman"/>
              </w:rPr>
              <w:t>м которых предоставляется</w:t>
            </w:r>
            <w:r w:rsidR="00096D18" w:rsidRPr="005B3DF3">
              <w:rPr>
                <w:rFonts w:ascii="Times New Roman" w:hAnsi="Times New Roman" w:cs="Times New Roman"/>
              </w:rPr>
              <w:t xml:space="preserve"> государственная поддержка в</w:t>
            </w:r>
            <w:r w:rsidRPr="005B3DF3">
              <w:rPr>
                <w:rFonts w:ascii="Times New Roman" w:hAnsi="Times New Roman" w:cs="Times New Roman"/>
              </w:rPr>
              <w:t xml:space="preserve"> соответствии с </w:t>
            </w:r>
            <w:r w:rsidR="00096D18" w:rsidRPr="005B3DF3">
              <w:rPr>
                <w:rFonts w:ascii="Times New Roman" w:hAnsi="Times New Roman" w:cs="Times New Roman"/>
              </w:rPr>
              <w:t xml:space="preserve"> Законом Курской области от 12</w:t>
            </w:r>
            <w:r w:rsidR="00335691">
              <w:rPr>
                <w:rFonts w:ascii="Times New Roman" w:hAnsi="Times New Roman" w:cs="Times New Roman"/>
              </w:rPr>
              <w:t xml:space="preserve"> августа </w:t>
            </w:r>
            <w:r w:rsidR="00096D18" w:rsidRPr="005B3DF3">
              <w:rPr>
                <w:rFonts w:ascii="Times New Roman" w:hAnsi="Times New Roman" w:cs="Times New Roman"/>
              </w:rPr>
              <w:t>2004</w:t>
            </w:r>
            <w:r w:rsidR="00335691">
              <w:rPr>
                <w:rFonts w:ascii="Times New Roman" w:hAnsi="Times New Roman" w:cs="Times New Roman"/>
              </w:rPr>
              <w:t xml:space="preserve"> г.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 </w:t>
            </w:r>
            <w:r w:rsidR="00096D18" w:rsidRPr="005B3DF3">
              <w:rPr>
                <w:rFonts w:ascii="Times New Roman" w:hAnsi="Times New Roman" w:cs="Times New Roman"/>
              </w:rPr>
              <w:t>№ 37-ЗКО «Об инвестиционной дея</w:t>
            </w:r>
            <w:r w:rsidRPr="005B3DF3">
              <w:rPr>
                <w:rFonts w:ascii="Times New Roman" w:hAnsi="Times New Roman" w:cs="Times New Roman"/>
              </w:rPr>
              <w:t>тельности в Курской области».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</w:t>
            </w:r>
            <w:r w:rsidR="00096D18" w:rsidRPr="005B3DF3">
              <w:rPr>
                <w:rFonts w:ascii="Times New Roman" w:hAnsi="Times New Roman" w:cs="Times New Roman"/>
              </w:rPr>
              <w:t xml:space="preserve">роведение работы по рассмотрению заявок организаций области на предоставление им режима </w:t>
            </w:r>
            <w:r w:rsidRPr="005B3DF3">
              <w:rPr>
                <w:rFonts w:ascii="Times New Roman" w:hAnsi="Times New Roman" w:cs="Times New Roman"/>
              </w:rPr>
              <w:t xml:space="preserve">наибольшего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благоприятство</w:t>
            </w:r>
            <w:r w:rsidR="0051107F" w:rsidRPr="005B3DF3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ежегодного конкурса</w:t>
            </w:r>
            <w:r w:rsidRPr="005B3DF3">
              <w:rPr>
                <w:rFonts w:ascii="Times New Roman" w:hAnsi="Times New Roman" w:cs="Times New Roman"/>
              </w:rPr>
              <w:t xml:space="preserve"> «Инновация и изобретение года».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</w:t>
            </w:r>
            <w:r w:rsidR="00096D18" w:rsidRPr="005B3DF3">
              <w:rPr>
                <w:rFonts w:ascii="Times New Roman" w:hAnsi="Times New Roman" w:cs="Times New Roman"/>
              </w:rPr>
              <w:t xml:space="preserve">еализация инвестиционных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проектов с использованием средств</w:t>
            </w:r>
            <w:r w:rsidR="00223C50" w:rsidRPr="005B3DF3"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Инвестиц</w:t>
            </w:r>
            <w:r w:rsidR="00223C50" w:rsidRPr="005B3DF3">
              <w:rPr>
                <w:rFonts w:ascii="Times New Roman" w:hAnsi="Times New Roman" w:cs="Times New Roman"/>
              </w:rPr>
              <w:t>и</w:t>
            </w:r>
            <w:r w:rsidR="00096D18" w:rsidRPr="005B3DF3">
              <w:rPr>
                <w:rFonts w:ascii="Times New Roman" w:hAnsi="Times New Roman" w:cs="Times New Roman"/>
              </w:rPr>
              <w:t>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 подпрограммы: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</w:t>
            </w:r>
            <w:r w:rsidR="00230800" w:rsidRPr="005B3DF3">
              <w:rPr>
                <w:rFonts w:ascii="Times New Roman" w:hAnsi="Times New Roman" w:cs="Times New Roman"/>
              </w:rPr>
              <w:t xml:space="preserve"> инвестиций в основной капитал»;</w:t>
            </w:r>
            <w:r w:rsidRPr="005B3DF3">
              <w:rPr>
                <w:rFonts w:ascii="Times New Roman" w:hAnsi="Times New Roman" w:cs="Times New Roman"/>
              </w:rPr>
              <w:t xml:space="preserve"> «Объем </w:t>
            </w:r>
            <w:r w:rsidRPr="005B3DF3">
              <w:rPr>
                <w:rFonts w:ascii="Times New Roman" w:hAnsi="Times New Roman" w:cs="Times New Roman"/>
              </w:rPr>
              <w:lastRenderedPageBreak/>
              <w:t>инвестиций в основной капитал на душу населения»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B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1.</w:t>
            </w:r>
            <w:r w:rsidRPr="00CC0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регионального </w:t>
            </w:r>
          </w:p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национального проекта «Производительность труда и поддержка занятости»</w:t>
            </w:r>
          </w:p>
        </w:tc>
        <w:tc>
          <w:tcPr>
            <w:tcW w:w="1911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 обеспечит достижение значений показателей </w:t>
            </w:r>
            <w:r w:rsidR="00B05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spellStart"/>
            <w:r w:rsidRPr="00D52F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spellEnd"/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1.</w:t>
            </w:r>
            <w:r w:rsidRPr="00D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2 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целей, показателей и результатов регионального проекта «Адресная поддержка повышения производительности 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</w:t>
            </w:r>
          </w:p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предприятий - участников национального проекта под федеральным управлением (совместно с федеральным центром компетенций) и региональным управлением (совместно с экспертами регионального центра компетенций)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3E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деятельности Регионального центра компетенций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производи-тельности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56603E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консультантов для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участниках национального проекта, внедряющих мероприятия по повышению производительности труда.</w:t>
            </w:r>
          </w:p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регионального проекта  обеспечит достижение значений показателей </w:t>
            </w:r>
            <w:r w:rsidR="00B054D0">
              <w:rPr>
                <w:rFonts w:ascii="Times New Roman" w:hAnsi="Times New Roman" w:cs="Times New Roman"/>
                <w:sz w:val="24"/>
                <w:szCs w:val="24"/>
              </w:rPr>
              <w:t xml:space="preserve">21-33 </w:t>
            </w: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</w:tr>
      <w:tr w:rsidR="0056603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>, предоставление гарантий по кредитам.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субъектам </w:t>
            </w:r>
            <w:r w:rsidRPr="005B3DF3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</w:t>
            </w:r>
            <w:r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Привлечение льготных кредитных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ресурсов.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экспортной деятельности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Предоставление государственной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данного основного мероприятия оказывает </w:t>
            </w:r>
            <w:r w:rsidRPr="005B3DF3">
              <w:rPr>
                <w:rFonts w:ascii="Times New Roman" w:hAnsi="Times New Roman" w:cs="Times New Roman"/>
              </w:rPr>
              <w:lastRenderedPageBreak/>
              <w:t>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областного конкурса «Малый и средний </w:t>
            </w:r>
            <w:r w:rsidRPr="005B3DF3">
              <w:rPr>
                <w:rFonts w:ascii="Times New Roman" w:hAnsi="Times New Roman" w:cs="Times New Roman"/>
              </w:rPr>
              <w:lastRenderedPageBreak/>
              <w:t>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инфраструктурой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1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Региональный проект 2.I2 «Создание благоприятных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условий для осуществления деятельности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ленности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276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гражданами», входящего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Предоставление субсидий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Реализация регионального проекта обеспечивает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достижение показателя 65 подпрограммы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2019-2020 гг.:     «Расширение доступа субъектов малого и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к финансовым ресурсам,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к льготному финансированию»)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ведения бизнеса» (наименование федерального проекта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2019-2020 гг.: «Расширение доступа субъектов малого и среднего предпринимательства к финансовым ресурсам, в том числе к льготному финансированию»), входящего в состав национального проекта «Малое и среднее предпринимательство и поддержка индивидуальной предпринимательской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Реализация регионального проекта обеспечивает достижение показателей 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58, 66, 67 подпрограммы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3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2.I5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федерального проекта «Акселерация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Предоставление субсидий из областного бюджета на выполнение мероприятий регионального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Реализация регионального проекта обеспечивает достижение показателей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59, 60, 68, 69 подпрограммы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4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федерального проекта «Популяризация предпринимательства», входящего в состав национального проекта «Малое и среднее предпринимательство и поддержка индивидуальной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предпринимательской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Реализация регионального проекта обеспечивает достижение показателей</w:t>
            </w:r>
          </w:p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61 - 64 подпрограммы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цифрового развития и связи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«Уровень удовлетворенности граждан Курской области качеством предоставления государственных  и муниципальных услуг»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«Оптимизация предоставления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 и осуществления государственного контроля (надзора)»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цифрового развития и </w:t>
            </w:r>
            <w:r w:rsidRPr="005B3DF3">
              <w:rPr>
                <w:rFonts w:ascii="Times New Roman" w:hAnsi="Times New Roman" w:cs="Times New Roman"/>
              </w:rPr>
              <w:lastRenderedPageBreak/>
              <w:t>связи Курской области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Выполнение стандарта предоставления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услуг.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Регламентация государственных и муниципальных </w:t>
            </w:r>
            <w:r w:rsidRPr="005B3DF3">
              <w:rPr>
                <w:rFonts w:ascii="Times New Roman" w:hAnsi="Times New Roman" w:cs="Times New Roman"/>
                <w:lang w:eastAsia="ru-RU"/>
              </w:rPr>
              <w:lastRenderedPageBreak/>
              <w:t>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достижение значений </w:t>
            </w:r>
            <w:r w:rsidRPr="005B3DF3">
              <w:rPr>
                <w:rFonts w:ascii="Times New Roman" w:hAnsi="Times New Roman" w:cs="Times New Roman"/>
              </w:rPr>
              <w:lastRenderedPageBreak/>
              <w:t>следующих показателей 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регионами Российской Федерации» 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экономике и развитию Курской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</w:t>
            </w:r>
            <w:r w:rsidRPr="005B3DF3">
              <w:rPr>
                <w:rFonts w:ascii="Times New Roman" w:hAnsi="Times New Roman" w:cs="Times New Roman"/>
                <w:kern w:val="2"/>
              </w:rPr>
              <w:lastRenderedPageBreak/>
              <w:t xml:space="preserve">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Участие в международных и межрегиональных выставочно-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достижение значений следующих показателей </w:t>
            </w:r>
            <w:r w:rsidRPr="005B3DF3">
              <w:rPr>
                <w:rFonts w:ascii="Times New Roman" w:hAnsi="Times New Roman" w:cs="Times New Roman"/>
              </w:rPr>
              <w:lastRenderedPageBreak/>
              <w:t>госпрограммы и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по экономике и развитию Курской области, </w:t>
            </w:r>
          </w:p>
          <w:p w:rsidR="002D1244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комплекса Курской области,</w:t>
            </w:r>
          </w:p>
          <w:p w:rsidR="002D1244" w:rsidRPr="005B3DF3" w:rsidRDefault="002D1244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рынках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2D1244" w:rsidRPr="005B3DF3" w:rsidRDefault="002D1244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lastRenderedPageBreak/>
              <w:t xml:space="preserve">Комитет по экономике и </w:t>
            </w:r>
            <w:r w:rsidRPr="0056603E">
              <w:rPr>
                <w:rFonts w:ascii="Times New Roman" w:hAnsi="Times New Roman" w:cs="Times New Roman"/>
              </w:rPr>
              <w:lastRenderedPageBreak/>
              <w:t>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Укрепление связей Курской области с </w:t>
            </w:r>
            <w:r w:rsidRPr="005B3DF3">
              <w:rPr>
                <w:rFonts w:ascii="Times New Roman" w:hAnsi="Times New Roman" w:cs="Times New Roman"/>
              </w:rPr>
              <w:lastRenderedPageBreak/>
              <w:t>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lastRenderedPageBreak/>
              <w:t>соотечественни-ков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организациях Курской области.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новых форм молодежного сотрудничества, создание условий для поддержки и развития талантливой молодежи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r w:rsidRPr="005B3DF3">
              <w:rPr>
                <w:rFonts w:ascii="Times New Roman" w:hAnsi="Times New Roman" w:cs="Times New Roman"/>
              </w:rPr>
              <w:lastRenderedPageBreak/>
              <w:t>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2D1244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2D1244" w:rsidRPr="005B3DF3" w:rsidRDefault="002D1244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площадках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2D1244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</w:t>
            </w:r>
            <w:r w:rsidRPr="005B3DF3">
              <w:rPr>
                <w:rFonts w:ascii="Times New Roman" w:hAnsi="Times New Roman" w:cs="Times New Roman"/>
              </w:rPr>
              <w:lastRenderedPageBreak/>
              <w:t>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координации процессов создания и эффективного функционирования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геоинфор-мационном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 целевых системах мониторинга и управления (ЦСМУ) Курской области, </w:t>
            </w:r>
            <w:r w:rsidRPr="005B3DF3">
              <w:rPr>
                <w:rFonts w:ascii="Times New Roman" w:hAnsi="Times New Roman" w:cs="Times New Roman"/>
              </w:rPr>
              <w:lastRenderedPageBreak/>
              <w:t>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комплекса </w:t>
            </w:r>
            <w:r w:rsidRPr="005B3DF3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геоинформацион-ным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региональной базовой ЦСМУ территориального </w:t>
            </w:r>
            <w:r w:rsidRPr="005B3DF3">
              <w:rPr>
                <w:rFonts w:ascii="Times New Roman" w:hAnsi="Times New Roman" w:cs="Times New Roman"/>
              </w:rPr>
              <w:lastRenderedPageBreak/>
              <w:t>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строительства и архитектуры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lastRenderedPageBreak/>
              <w:t>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показатель  подпрограммы «Количество региональных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6.10. «Создание подсистем региональной информационно-навигационной системы Курской области в учреждениях органов </w:t>
            </w:r>
            <w:r w:rsidRPr="005B3DF3">
              <w:rPr>
                <w:rFonts w:ascii="Times New Roman" w:hAnsi="Times New Roman" w:cs="Times New Roman"/>
              </w:rPr>
              <w:lastRenderedPageBreak/>
              <w:t>исполнительной  власти Курской области, включая: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информационно-справочного обеспечения транспортного комплекса Курской области, включая приобретение основных сре</w:t>
            </w:r>
            <w:proofErr w:type="gramStart"/>
            <w:r w:rsidRPr="005B3DF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я оборудования класса, предназначенного для обучения, разработка примерной программы, </w:t>
            </w:r>
            <w:r w:rsidRPr="005B3DF3">
              <w:rPr>
                <w:rFonts w:ascii="Times New Roman" w:hAnsi="Times New Roman" w:cs="Times New Roman"/>
              </w:rPr>
              <w:lastRenderedPageBreak/>
              <w:t>методики и учебно-методического комплекса в целях обучения должностных лиц и специалистов РНИС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управление ветеринарии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условий для повышения эффективности управления отраслями экономики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«Развертывание и внедрение в региональном информационно-навигационном центре единой платформы навигационных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7 «Обеспечение реализации государственной программы Курской области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lastRenderedPageBreak/>
              <w:t>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и выполнение функций комитета по экономике и развитию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1107F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органов местного самоуправления  городских округов и муниципальных районов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shd w:val="clear" w:color="auto" w:fill="auto"/>
          </w:tcPr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E34" w:rsidRPr="008932BE" w:rsidRDefault="000F2E34" w:rsidP="008452D3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C93C95">
      <w:headerReference w:type="default" r:id="rId8"/>
      <w:headerReference w:type="first" r:id="rId9"/>
      <w:pgSz w:w="16838" w:h="11906" w:orient="landscape"/>
      <w:pgMar w:top="1559" w:right="1134" w:bottom="1276" w:left="1134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D0" w:rsidRDefault="00B054D0" w:rsidP="00133906">
      <w:pPr>
        <w:spacing w:after="0" w:line="240" w:lineRule="auto"/>
      </w:pPr>
      <w:r>
        <w:separator/>
      </w:r>
    </w:p>
  </w:endnote>
  <w:endnote w:type="continuationSeparator" w:id="0">
    <w:p w:rsidR="00B054D0" w:rsidRDefault="00B054D0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D0" w:rsidRDefault="00B054D0" w:rsidP="00133906">
      <w:pPr>
        <w:spacing w:after="0" w:line="240" w:lineRule="auto"/>
      </w:pPr>
      <w:r>
        <w:separator/>
      </w:r>
    </w:p>
  </w:footnote>
  <w:footnote w:type="continuationSeparator" w:id="0">
    <w:p w:rsidR="00B054D0" w:rsidRDefault="00B054D0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B054D0" w:rsidRDefault="00AB4DAF">
        <w:pPr>
          <w:pStyle w:val="a4"/>
          <w:jc w:val="center"/>
        </w:pPr>
        <w:fldSimple w:instr=" PAGE   \* MERGEFORMAT ">
          <w:r w:rsidR="00DF3CC5">
            <w:rPr>
              <w:noProof/>
            </w:rPr>
            <w:t>60</w:t>
          </w:r>
        </w:fldSimple>
      </w:p>
    </w:sdtContent>
  </w:sdt>
  <w:p w:rsidR="00B054D0" w:rsidRDefault="00B054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B054D0" w:rsidRDefault="00AB4DAF">
        <w:pPr>
          <w:pStyle w:val="a4"/>
          <w:jc w:val="center"/>
        </w:pPr>
        <w:fldSimple w:instr=" PAGE   \* MERGEFORMAT ">
          <w:r w:rsidR="00B054D0">
            <w:rPr>
              <w:noProof/>
            </w:rPr>
            <w:t>60</w:t>
          </w:r>
        </w:fldSimple>
      </w:p>
    </w:sdtContent>
  </w:sdt>
  <w:p w:rsidR="00B054D0" w:rsidRDefault="00B054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2119"/>
    <w:rsid w:val="00344059"/>
    <w:rsid w:val="00350101"/>
    <w:rsid w:val="003606FF"/>
    <w:rsid w:val="0036269E"/>
    <w:rsid w:val="003723F8"/>
    <w:rsid w:val="0038035C"/>
    <w:rsid w:val="00381410"/>
    <w:rsid w:val="00384EB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D40C1"/>
    <w:rsid w:val="008D4B54"/>
    <w:rsid w:val="008D50D1"/>
    <w:rsid w:val="008F2482"/>
    <w:rsid w:val="00904215"/>
    <w:rsid w:val="0091689E"/>
    <w:rsid w:val="009270B4"/>
    <w:rsid w:val="009314FB"/>
    <w:rsid w:val="009432B3"/>
    <w:rsid w:val="0096274E"/>
    <w:rsid w:val="00963FEB"/>
    <w:rsid w:val="00965726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B4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DF3CC5"/>
    <w:rsid w:val="00E1002D"/>
    <w:rsid w:val="00E33548"/>
    <w:rsid w:val="00E41A64"/>
    <w:rsid w:val="00E466B4"/>
    <w:rsid w:val="00E51A0E"/>
    <w:rsid w:val="00E538C8"/>
    <w:rsid w:val="00E64356"/>
    <w:rsid w:val="00E657F7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9261-A0C5-4A49-87AF-B8FA9161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27</Pages>
  <Words>3677</Words>
  <Characters>30516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21</cp:revision>
  <cp:lastPrinted>2019-09-05T12:55:00Z</cp:lastPrinted>
  <dcterms:created xsi:type="dcterms:W3CDTF">2019-07-09T13:03:00Z</dcterms:created>
  <dcterms:modified xsi:type="dcterms:W3CDTF">2022-01-12T06:31:00Z</dcterms:modified>
</cp:coreProperties>
</file>